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689C5DB5" w14:textId="6F85D85F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E01B27">
        <w:rPr>
          <w:rFonts w:cs="Arial"/>
          <w:b/>
          <w:szCs w:val="22"/>
        </w:rPr>
        <w:t>pro Ústecký kraj, Pobočka Děčín</w:t>
      </w:r>
    </w:p>
    <w:p w14:paraId="20341B94" w14:textId="72F334BD"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E01B27">
        <w:rPr>
          <w:rFonts w:cs="Arial"/>
          <w:b/>
          <w:szCs w:val="22"/>
        </w:rPr>
        <w:t xml:space="preserve">ul. 28. října 979/19, 405 </w:t>
      </w:r>
      <w:proofErr w:type="gramStart"/>
      <w:r w:rsidR="00E01B27">
        <w:rPr>
          <w:rFonts w:cs="Arial"/>
          <w:b/>
          <w:szCs w:val="22"/>
        </w:rPr>
        <w:t>02  Děčín</w:t>
      </w:r>
      <w:proofErr w:type="gramEnd"/>
      <w:r w:rsidR="00E01B27">
        <w:rPr>
          <w:rFonts w:cs="Arial"/>
          <w:b/>
          <w:szCs w:val="22"/>
        </w:rPr>
        <w:t xml:space="preserve"> I</w:t>
      </w:r>
    </w:p>
    <w:p w14:paraId="51C3CFC8" w14:textId="24C4FF3E" w:rsidR="00AD5D34" w:rsidRDefault="00AC144C" w:rsidP="00AC144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>
        <w:rPr>
          <w:rFonts w:cs="Arial"/>
          <w:b/>
          <w:szCs w:val="22"/>
        </w:rPr>
        <w:t xml:space="preserve">      </w:t>
      </w:r>
      <w:r w:rsidR="00AD5D34" w:rsidRPr="004D5F78">
        <w:rPr>
          <w:rFonts w:cs="Arial"/>
          <w:b/>
          <w:szCs w:val="22"/>
        </w:rPr>
        <w:t xml:space="preserve">Pobočka </w:t>
      </w:r>
      <w:r w:rsidR="00E01B27">
        <w:rPr>
          <w:rFonts w:cs="Arial"/>
          <w:b/>
          <w:szCs w:val="22"/>
        </w:rPr>
        <w:t>Děčín</w:t>
      </w:r>
    </w:p>
    <w:p w14:paraId="6006FC21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07035AFA" w14:textId="5D86DFD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E01B27">
        <w:rPr>
          <w:rFonts w:eastAsia="Lucida Sans Unicode" w:cs="Arial"/>
          <w:szCs w:val="22"/>
        </w:rPr>
        <w:t>Ing. Jitkou Blehovou, vedoucí Pobočky Děčín</w:t>
      </w:r>
    </w:p>
    <w:p w14:paraId="26C5EC42" w14:textId="07EE3B5C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E01B27">
        <w:rPr>
          <w:rFonts w:eastAsia="Lucida Sans Unicode" w:cs="Arial"/>
          <w:szCs w:val="22"/>
        </w:rPr>
        <w:t>Ing. Jitka Blehová, vedoucí Pobočky Děčín</w:t>
      </w:r>
    </w:p>
    <w:p w14:paraId="741CBB41" w14:textId="7E84FECF" w:rsidR="00AD5D34" w:rsidRPr="004D5F78" w:rsidRDefault="00AD5D34" w:rsidP="00E01B27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E01B27">
        <w:rPr>
          <w:rFonts w:eastAsia="Lucida Sans Unicode" w:cs="Arial"/>
          <w:snapToGrid w:val="0"/>
          <w:szCs w:val="22"/>
        </w:rPr>
        <w:t>Ing. Andrea Beranová, odborný rada Pobočky Děčín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0A031A01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E01B27">
        <w:rPr>
          <w:rFonts w:eastAsia="Lucida Sans Unicode" w:cs="Arial"/>
          <w:szCs w:val="22"/>
        </w:rPr>
        <w:t> 721 451 254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29941EEB" w:rsidR="00AD5D34" w:rsidRPr="00E01B2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="00E01B27" w:rsidRPr="00E01B27">
        <w:rPr>
          <w:rFonts w:eastAsia="Lucida Sans Unicode" w:cs="Arial"/>
          <w:szCs w:val="22"/>
        </w:rPr>
        <w:t>a.beranova1</w:t>
      </w:r>
      <w:r w:rsidRPr="00E01B27">
        <w:rPr>
          <w:rFonts w:eastAsia="Lucida Sans Unicode" w:cs="Arial"/>
          <w:szCs w:val="22"/>
        </w:rPr>
        <w:t>@spucr.cz</w:t>
      </w:r>
    </w:p>
    <w:p w14:paraId="5511424E" w14:textId="77777777" w:rsidR="00AD5D34" w:rsidRPr="00E01B27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E01B27">
        <w:rPr>
          <w:rFonts w:eastAsia="Lucida Sans Unicode" w:cs="Arial"/>
          <w:szCs w:val="22"/>
        </w:rPr>
        <w:t xml:space="preserve">      ID DS:</w:t>
      </w:r>
      <w:r w:rsidRPr="00E01B27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E01B27">
        <w:rPr>
          <w:rFonts w:eastAsia="Lucida Sans Unicode" w:cs="Arial"/>
          <w:szCs w:val="22"/>
        </w:rPr>
        <w:t xml:space="preserve">      Bankovní spojení:</w:t>
      </w:r>
      <w:r w:rsidRPr="00E01B27">
        <w:rPr>
          <w:rFonts w:eastAsia="Lucida Sans Unicode" w:cs="Arial"/>
          <w:szCs w:val="22"/>
        </w:rPr>
        <w:tab/>
        <w:t>ČNB</w:t>
      </w:r>
      <w:r w:rsidRPr="004D5F78">
        <w:rPr>
          <w:rFonts w:eastAsia="Lucida Sans Unicode" w:cs="Arial"/>
          <w:szCs w:val="22"/>
        </w:rPr>
        <w:t xml:space="preserve">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318C5806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5344E8" w:rsidRPr="00ED7F89">
        <w:rPr>
          <w:rFonts w:cs="Arial"/>
          <w:b/>
          <w:bCs/>
        </w:rPr>
        <w:t xml:space="preserve">PD a AD pro realizaci </w:t>
      </w:r>
      <w:bookmarkStart w:id="0" w:name="_Hlk41899554"/>
      <w:r w:rsidR="005344E8" w:rsidRPr="00ED7F89">
        <w:rPr>
          <w:rFonts w:cs="Arial"/>
          <w:b/>
          <w:bCs/>
        </w:rPr>
        <w:t xml:space="preserve">PCE, VHO a PEO </w:t>
      </w:r>
      <w:bookmarkEnd w:id="0"/>
      <w:r w:rsidR="005344E8" w:rsidRPr="00ED7F89">
        <w:rPr>
          <w:rFonts w:cs="Arial"/>
          <w:b/>
          <w:bCs/>
        </w:rPr>
        <w:t>v </w:t>
      </w:r>
      <w:proofErr w:type="spellStart"/>
      <w:r w:rsidR="005344E8" w:rsidRPr="00ED7F89">
        <w:rPr>
          <w:rFonts w:cs="Arial"/>
          <w:b/>
          <w:bCs/>
        </w:rPr>
        <w:t>k.ú</w:t>
      </w:r>
      <w:proofErr w:type="spellEnd"/>
      <w:r w:rsidR="005344E8" w:rsidRPr="00ED7F89">
        <w:rPr>
          <w:rFonts w:cs="Arial"/>
          <w:b/>
          <w:bCs/>
        </w:rPr>
        <w:t xml:space="preserve">. </w:t>
      </w:r>
      <w:proofErr w:type="spellStart"/>
      <w:r w:rsidR="005344E8" w:rsidRPr="00ED7F89">
        <w:rPr>
          <w:rFonts w:cs="Arial"/>
          <w:b/>
          <w:bCs/>
        </w:rPr>
        <w:t>Rytířov</w:t>
      </w:r>
      <w:proofErr w:type="spellEnd"/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5305B33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76530" w:rsidRPr="00376530">
        <w:rPr>
          <w:rFonts w:ascii="Arial" w:hAnsi="Arial" w:cs="Arial"/>
          <w:bCs/>
          <w:snapToGrid w:val="0"/>
          <w:szCs w:val="22"/>
          <w:u w:val="none"/>
        </w:rPr>
        <w:t xml:space="preserve">PCE, VHO a PEO </w:t>
      </w:r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v </w:t>
      </w:r>
      <w:proofErr w:type="spellStart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>Rytířov</w:t>
      </w:r>
      <w:proofErr w:type="spellEnd"/>
    </w:p>
    <w:p w14:paraId="20E141FE" w14:textId="7A1C995A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>okres</w:t>
      </w:r>
      <w:proofErr w:type="spellEnd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>Děčín</w:t>
      </w:r>
      <w:proofErr w:type="spellEnd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>obec</w:t>
      </w:r>
      <w:proofErr w:type="spellEnd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>Verneřice</w:t>
      </w:r>
      <w:proofErr w:type="spellEnd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E01B27">
        <w:rPr>
          <w:rFonts w:ascii="Arial" w:hAnsi="Arial" w:cs="Arial"/>
          <w:bCs/>
          <w:snapToGrid w:val="0"/>
          <w:szCs w:val="22"/>
          <w:u w:val="none"/>
          <w:lang w:val="en-US"/>
        </w:rPr>
        <w:t>Rytířov</w:t>
      </w:r>
      <w:proofErr w:type="spellEnd"/>
    </w:p>
    <w:p w14:paraId="3381D78D" w14:textId="23384EEA" w:rsidR="00E01B27" w:rsidRDefault="00035F68" w:rsidP="00E01B27">
      <w:pPr>
        <w:spacing w:line="276" w:lineRule="auto"/>
        <w:ind w:firstLine="708"/>
        <w:jc w:val="both"/>
        <w:rPr>
          <w:rFonts w:cs="Arial"/>
          <w:b/>
        </w:rPr>
      </w:pPr>
      <w:r w:rsidRPr="004D5F78">
        <w:rPr>
          <w:rStyle w:val="l-L2Char"/>
          <w:rFonts w:cs="Arial"/>
          <w:szCs w:val="22"/>
        </w:rPr>
        <w:t xml:space="preserve">Popis </w:t>
      </w:r>
      <w:proofErr w:type="gramStart"/>
      <w:r w:rsidRPr="004D5F78">
        <w:rPr>
          <w:rStyle w:val="l-L2Char"/>
          <w:rFonts w:cs="Arial"/>
          <w:szCs w:val="22"/>
        </w:rPr>
        <w:t xml:space="preserve">stavby:   </w:t>
      </w:r>
      <w:proofErr w:type="gramEnd"/>
      <w:r w:rsidRPr="004D5F78">
        <w:rPr>
          <w:rStyle w:val="l-L2Char"/>
          <w:rFonts w:cs="Arial"/>
          <w:szCs w:val="22"/>
        </w:rPr>
        <w:t xml:space="preserve">  </w:t>
      </w:r>
      <w:r w:rsidR="00E01B27">
        <w:rPr>
          <w:rFonts w:cs="Arial"/>
          <w:b/>
        </w:rPr>
        <w:t xml:space="preserve">SO1 - rekonstrukce </w:t>
      </w:r>
      <w:r w:rsidR="00E01B27" w:rsidRPr="008D2FF3">
        <w:rPr>
          <w:rFonts w:cs="Arial"/>
          <w:b/>
        </w:rPr>
        <w:t>Vodní nádrž</w:t>
      </w:r>
      <w:r w:rsidR="00E01B27">
        <w:rPr>
          <w:rFonts w:cs="Arial"/>
          <w:b/>
        </w:rPr>
        <w:t>e</w:t>
      </w:r>
      <w:r w:rsidR="00E01B27" w:rsidRPr="008D2FF3">
        <w:rPr>
          <w:rFonts w:cs="Arial"/>
          <w:b/>
        </w:rPr>
        <w:t xml:space="preserve"> 1 </w:t>
      </w:r>
    </w:p>
    <w:p w14:paraId="795C3C9D" w14:textId="74806CF8" w:rsidR="00E01B27" w:rsidRDefault="00E01B27" w:rsidP="00E01B27">
      <w:pPr>
        <w:spacing w:line="276" w:lineRule="auto"/>
        <w:ind w:left="1416" w:firstLine="708"/>
        <w:jc w:val="both"/>
        <w:rPr>
          <w:rFonts w:cs="Arial"/>
        </w:rPr>
      </w:pPr>
      <w:r>
        <w:rPr>
          <w:rFonts w:cs="Arial"/>
          <w:b/>
        </w:rPr>
        <w:t xml:space="preserve">   </w:t>
      </w:r>
      <w:proofErr w:type="gramStart"/>
      <w:r>
        <w:rPr>
          <w:rFonts w:cs="Arial"/>
          <w:b/>
        </w:rPr>
        <w:t>SO2 - ochranný</w:t>
      </w:r>
      <w:proofErr w:type="gramEnd"/>
      <w:r>
        <w:rPr>
          <w:rFonts w:cs="Arial"/>
          <w:b/>
        </w:rPr>
        <w:t xml:space="preserve"> příkop OP1</w:t>
      </w:r>
      <w:r w:rsidRPr="001C2E42">
        <w:rPr>
          <w:rFonts w:cs="Arial"/>
          <w:b/>
        </w:rPr>
        <w:t xml:space="preserve"> </w:t>
      </w:r>
    </w:p>
    <w:p w14:paraId="02B9B350" w14:textId="57C8911B" w:rsidR="00E01B27" w:rsidRDefault="00E01B27" w:rsidP="00E01B27">
      <w:pPr>
        <w:jc w:val="both"/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  <w:t xml:space="preserve">   </w:t>
      </w:r>
      <w:r w:rsidRPr="006871CC">
        <w:rPr>
          <w:rFonts w:cs="Arial"/>
          <w:b/>
        </w:rPr>
        <w:t>SO</w:t>
      </w:r>
      <w:r>
        <w:rPr>
          <w:rFonts w:cs="Arial"/>
          <w:b/>
        </w:rPr>
        <w:t>3</w:t>
      </w:r>
      <w:r w:rsidRPr="006871CC">
        <w:rPr>
          <w:rFonts w:cs="Arial"/>
          <w:b/>
        </w:rPr>
        <w:t xml:space="preserve"> – </w:t>
      </w:r>
      <w:r>
        <w:rPr>
          <w:rFonts w:cs="Arial"/>
          <w:b/>
        </w:rPr>
        <w:t xml:space="preserve">polní cesta propojující katastry </w:t>
      </w:r>
    </w:p>
    <w:p w14:paraId="3C1AEE13" w14:textId="2DEB47F6" w:rsidR="00E01B27" w:rsidRPr="00EC42C0" w:rsidRDefault="00E01B27" w:rsidP="00E01B27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</w:t>
      </w:r>
      <w:r w:rsidRPr="00EC42C0">
        <w:rPr>
          <w:rFonts w:cs="Arial"/>
          <w:b/>
        </w:rPr>
        <w:t>SO4 – polní cesta C7a</w:t>
      </w:r>
      <w:r>
        <w:rPr>
          <w:rFonts w:cs="Arial"/>
          <w:b/>
        </w:rPr>
        <w:t xml:space="preserve"> s odvodněním</w:t>
      </w:r>
    </w:p>
    <w:p w14:paraId="4473A874" w14:textId="5D7DFFA5" w:rsidR="00E01B27" w:rsidRPr="006871CC" w:rsidRDefault="00E01B27" w:rsidP="00E01B27">
      <w:pPr>
        <w:jc w:val="both"/>
        <w:rPr>
          <w:rFonts w:cs="Arial"/>
          <w:b/>
        </w:rPr>
      </w:pP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65940A6D" w:rsidR="002F6773" w:rsidRPr="00E01B27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E01B27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E01B27">
        <w:rPr>
          <w:rStyle w:val="l-L2Char"/>
          <w:rFonts w:cs="Arial"/>
          <w:b w:val="0"/>
          <w:szCs w:val="22"/>
          <w:u w:val="none"/>
        </w:rPr>
        <w:t xml:space="preserve">je </w:t>
      </w:r>
      <w:r w:rsidRPr="00E01B27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E01B27">
        <w:rPr>
          <w:rStyle w:val="l-L2Char"/>
          <w:rFonts w:cs="Arial"/>
          <w:b w:val="0"/>
          <w:szCs w:val="22"/>
          <w:u w:val="none"/>
        </w:rPr>
        <w:t>P</w:t>
      </w:r>
      <w:r w:rsidRPr="00E01B27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E01B27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E01B27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E01B27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E01B27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E01B27">
        <w:rPr>
          <w:rStyle w:val="l-L2Char"/>
          <w:rFonts w:cs="Arial"/>
          <w:b w:val="0"/>
          <w:szCs w:val="22"/>
          <w:u w:val="none"/>
        </w:rPr>
        <w:t>jednání</w:t>
      </w:r>
      <w:r w:rsidRPr="00E01B27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68F39D10" w14:textId="35C3BC95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Práva a povinnosti smluvních stran</w:t>
      </w:r>
    </w:p>
    <w:p w14:paraId="1BB6F81F" w14:textId="6AB730F4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F84BB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555986FD" w14:textId="6AD871AE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2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2"/>
    </w:p>
    <w:p w14:paraId="016DB46C" w14:textId="6858C3E4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3"/>
      <w:bookmarkEnd w:id="4"/>
    </w:p>
    <w:p w14:paraId="68AF43A3" w14:textId="2A74AE1A" w:rsidR="00A5084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6436EE13" w:rsidR="00712A60" w:rsidRPr="003A3D12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3A3D12">
        <w:rPr>
          <w:rStyle w:val="l-L2Char"/>
          <w:rFonts w:cs="Arial"/>
          <w:b w:val="0"/>
          <w:szCs w:val="22"/>
          <w:u w:val="none"/>
        </w:rPr>
        <w:t xml:space="preserve">a) Projektová dokumentace </w:t>
      </w:r>
      <w:r w:rsidR="00132165">
        <w:rPr>
          <w:rFonts w:ascii="Arial" w:hAnsi="Arial" w:cs="Arial"/>
          <w:bCs/>
          <w:snapToGrid w:val="0"/>
          <w:szCs w:val="22"/>
        </w:rPr>
        <w:t>31.3</w:t>
      </w:r>
      <w:r w:rsidR="003A3D12" w:rsidRPr="003A3D12">
        <w:rPr>
          <w:rFonts w:ascii="Arial" w:hAnsi="Arial" w:cs="Arial"/>
          <w:bCs/>
          <w:snapToGrid w:val="0"/>
          <w:szCs w:val="22"/>
        </w:rPr>
        <w:t>.2021</w:t>
      </w:r>
    </w:p>
    <w:p w14:paraId="0730DC94" w14:textId="51572E1C" w:rsidR="00712A60" w:rsidRPr="00843160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</w:rPr>
      </w:pPr>
      <w:r w:rsidRPr="003A3D12">
        <w:rPr>
          <w:rStyle w:val="l-L2Char"/>
          <w:rFonts w:cs="Arial"/>
          <w:b w:val="0"/>
          <w:szCs w:val="22"/>
          <w:u w:val="none"/>
        </w:rPr>
        <w:t xml:space="preserve">b) stavební povolení (rozhodnutí s doložkou právní moci) </w:t>
      </w:r>
      <w:r w:rsidR="003A3D12" w:rsidRPr="003A3D12">
        <w:rPr>
          <w:rFonts w:ascii="Arial" w:hAnsi="Arial" w:cs="Arial"/>
          <w:bCs/>
          <w:snapToGrid w:val="0"/>
          <w:szCs w:val="22"/>
        </w:rPr>
        <w:t>31.5.2021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  <w:bookmarkStart w:id="5" w:name="_GoBack"/>
      <w:bookmarkEnd w:id="5"/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4AC3A452" w14:textId="17F1DD33" w:rsidR="00712A60" w:rsidRPr="003A3D12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B5DCD">
        <w:rPr>
          <w:rStyle w:val="l-L2Char"/>
          <w:rFonts w:cs="Arial"/>
          <w:b w:val="0"/>
          <w:szCs w:val="22"/>
          <w:u w:val="none"/>
        </w:rPr>
        <w:t xml:space="preserve">Vyhotovení projektové dokumentace </w:t>
      </w:r>
      <w:r>
        <w:rPr>
          <w:rStyle w:val="l-L2Char"/>
          <w:rFonts w:cs="Arial"/>
          <w:b w:val="0"/>
          <w:szCs w:val="22"/>
          <w:u w:val="none"/>
        </w:rPr>
        <w:t>se skládá ze dvou etap:</w:t>
      </w:r>
      <w:r w:rsidR="00712A60" w:rsidRPr="003B5DCD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3A3D12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A3D12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6FA25930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A3D12">
        <w:rPr>
          <w:rStyle w:val="l-L2Char"/>
          <w:rFonts w:cs="Arial"/>
          <w:b w:val="0"/>
          <w:szCs w:val="22"/>
          <w:u w:val="none"/>
        </w:rPr>
        <w:t>b) zajištění stavebního povolení (právní moc rozhodnutí 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465CC79D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</w:t>
      </w:r>
      <w:proofErr w:type="gramStart"/>
      <w:r w:rsidR="00054689" w:rsidRPr="00054689">
        <w:rPr>
          <w:rStyle w:val="l-L2Char"/>
          <w:rFonts w:cs="Arial"/>
          <w:b w:val="0"/>
          <w:szCs w:val="22"/>
          <w:u w:val="none"/>
        </w:rPr>
        <w:t>lhůta .</w:t>
      </w:r>
      <w:proofErr w:type="gram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B3DB908" w14:textId="1771B67D" w:rsidR="0064611B" w:rsidRDefault="001D70C2" w:rsidP="0064611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W w:w="0" w:type="auto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"/>
        <w:gridCol w:w="3106"/>
        <w:gridCol w:w="1238"/>
        <w:gridCol w:w="1386"/>
        <w:gridCol w:w="1253"/>
        <w:gridCol w:w="1580"/>
      </w:tblGrid>
      <w:tr w:rsidR="0064611B" w14:paraId="6A6D2427" w14:textId="77777777" w:rsidTr="005344E8">
        <w:trPr>
          <w:trHeight w:val="558"/>
        </w:trPr>
        <w:tc>
          <w:tcPr>
            <w:tcW w:w="4358" w:type="dxa"/>
            <w:gridSpan w:val="3"/>
          </w:tcPr>
          <w:p w14:paraId="048385F7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386" w:type="dxa"/>
          </w:tcPr>
          <w:p w14:paraId="44B710E6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bez DPH</w:t>
            </w:r>
          </w:p>
        </w:tc>
        <w:tc>
          <w:tcPr>
            <w:tcW w:w="1253" w:type="dxa"/>
          </w:tcPr>
          <w:p w14:paraId="3E101BED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DPH</w:t>
            </w:r>
          </w:p>
        </w:tc>
        <w:tc>
          <w:tcPr>
            <w:tcW w:w="1580" w:type="dxa"/>
          </w:tcPr>
          <w:p w14:paraId="0B0C1ACF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včetně DPH</w:t>
            </w:r>
          </w:p>
        </w:tc>
      </w:tr>
      <w:tr w:rsidR="0064611B" w14:paraId="0B1400B5" w14:textId="77777777" w:rsidTr="005344E8">
        <w:trPr>
          <w:trHeight w:val="558"/>
        </w:trPr>
        <w:tc>
          <w:tcPr>
            <w:tcW w:w="3120" w:type="dxa"/>
            <w:gridSpan w:val="2"/>
            <w:vMerge w:val="restart"/>
          </w:tcPr>
          <w:p w14:paraId="7810EBC5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  <w:p w14:paraId="3C31CB38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rPr>
                <w:rStyle w:val="l-L2Char"/>
              </w:rPr>
            </w:pPr>
          </w:p>
          <w:p w14:paraId="5D4DF77D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PD bod 3.1.1.a) této smlouvy</w:t>
            </w:r>
          </w:p>
        </w:tc>
        <w:tc>
          <w:tcPr>
            <w:tcW w:w="1238" w:type="dxa"/>
          </w:tcPr>
          <w:p w14:paraId="131C4F94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</w:rPr>
              <w:t>SO1</w:t>
            </w:r>
          </w:p>
        </w:tc>
        <w:tc>
          <w:tcPr>
            <w:tcW w:w="1386" w:type="dxa"/>
          </w:tcPr>
          <w:p w14:paraId="40259A16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</w:tcPr>
          <w:p w14:paraId="7D95161B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</w:tcPr>
          <w:p w14:paraId="5B7DFB06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64611B" w14:paraId="13B39430" w14:textId="77777777" w:rsidTr="005344E8">
        <w:trPr>
          <w:trHeight w:val="558"/>
        </w:trPr>
        <w:tc>
          <w:tcPr>
            <w:tcW w:w="3120" w:type="dxa"/>
            <w:gridSpan w:val="2"/>
            <w:vMerge/>
          </w:tcPr>
          <w:p w14:paraId="196BC5F8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238" w:type="dxa"/>
          </w:tcPr>
          <w:p w14:paraId="569686FF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</w:rPr>
              <w:t>SO2</w:t>
            </w:r>
          </w:p>
        </w:tc>
        <w:tc>
          <w:tcPr>
            <w:tcW w:w="1386" w:type="dxa"/>
          </w:tcPr>
          <w:p w14:paraId="67C5BE8C" w14:textId="77777777" w:rsidR="0064611B" w:rsidRPr="002F6773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</w:tcPr>
          <w:p w14:paraId="282BFFDD" w14:textId="77777777" w:rsidR="0064611B" w:rsidRPr="002F6773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</w:tcPr>
          <w:p w14:paraId="3B03968E" w14:textId="77777777" w:rsidR="0064611B" w:rsidRPr="002F6773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64611B" w14:paraId="1EAAE300" w14:textId="77777777" w:rsidTr="005344E8">
        <w:trPr>
          <w:trHeight w:val="558"/>
        </w:trPr>
        <w:tc>
          <w:tcPr>
            <w:tcW w:w="3120" w:type="dxa"/>
            <w:gridSpan w:val="2"/>
            <w:vMerge/>
          </w:tcPr>
          <w:p w14:paraId="6B48BDAB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</w:rPr>
            </w:pPr>
          </w:p>
        </w:tc>
        <w:tc>
          <w:tcPr>
            <w:tcW w:w="1238" w:type="dxa"/>
          </w:tcPr>
          <w:p w14:paraId="60A126DB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</w:rPr>
            </w:pPr>
            <w:r>
              <w:rPr>
                <w:rStyle w:val="l-L2Char"/>
              </w:rPr>
              <w:t>SO3</w:t>
            </w:r>
          </w:p>
        </w:tc>
        <w:tc>
          <w:tcPr>
            <w:tcW w:w="1386" w:type="dxa"/>
          </w:tcPr>
          <w:p w14:paraId="215C8264" w14:textId="77777777" w:rsidR="0064611B" w:rsidRPr="002F6773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</w:tcPr>
          <w:p w14:paraId="75030034" w14:textId="77777777" w:rsidR="0064611B" w:rsidRPr="002F6773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</w:tcPr>
          <w:p w14:paraId="0F2BCED8" w14:textId="77777777" w:rsidR="0064611B" w:rsidRPr="002F6773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64611B" w14:paraId="00E59878" w14:textId="77777777" w:rsidTr="005344E8">
        <w:trPr>
          <w:trHeight w:val="558"/>
        </w:trPr>
        <w:tc>
          <w:tcPr>
            <w:tcW w:w="3120" w:type="dxa"/>
            <w:gridSpan w:val="2"/>
            <w:vMerge/>
          </w:tcPr>
          <w:p w14:paraId="1CD34920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</w:rPr>
            </w:pPr>
          </w:p>
        </w:tc>
        <w:tc>
          <w:tcPr>
            <w:tcW w:w="1238" w:type="dxa"/>
          </w:tcPr>
          <w:p w14:paraId="70A90718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</w:rPr>
            </w:pPr>
            <w:r>
              <w:rPr>
                <w:rStyle w:val="l-L2Char"/>
              </w:rPr>
              <w:t>SO4</w:t>
            </w:r>
          </w:p>
        </w:tc>
        <w:tc>
          <w:tcPr>
            <w:tcW w:w="1386" w:type="dxa"/>
          </w:tcPr>
          <w:p w14:paraId="1F8225F2" w14:textId="77777777" w:rsidR="0064611B" w:rsidRPr="002F6773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</w:tcPr>
          <w:p w14:paraId="5EF68310" w14:textId="77777777" w:rsidR="0064611B" w:rsidRPr="002F6773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</w:tcPr>
          <w:p w14:paraId="320EE7F6" w14:textId="77777777" w:rsidR="0064611B" w:rsidRPr="002F6773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64611B" w14:paraId="61F0181D" w14:textId="77777777" w:rsidTr="005344E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" w:type="dxa"/>
          <w:trHeight w:val="100"/>
        </w:trPr>
        <w:tc>
          <w:tcPr>
            <w:tcW w:w="4344" w:type="dxa"/>
            <w:gridSpan w:val="2"/>
            <w:tcBorders>
              <w:left w:val="single" w:sz="4" w:space="0" w:color="auto"/>
            </w:tcBorders>
          </w:tcPr>
          <w:p w14:paraId="0316EDBE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Stavební povolení bod 3.1.1.b) této smlouvy</w:t>
            </w:r>
          </w:p>
        </w:tc>
        <w:tc>
          <w:tcPr>
            <w:tcW w:w="1386" w:type="dxa"/>
            <w:tcBorders>
              <w:left w:val="single" w:sz="4" w:space="0" w:color="auto"/>
            </w:tcBorders>
          </w:tcPr>
          <w:p w14:paraId="21AB43B4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14:paraId="42511FC6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  <w:tcBorders>
              <w:left w:val="single" w:sz="4" w:space="0" w:color="auto"/>
              <w:right w:val="single" w:sz="4" w:space="0" w:color="auto"/>
            </w:tcBorders>
          </w:tcPr>
          <w:p w14:paraId="3D3CD625" w14:textId="77777777" w:rsidR="0064611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b w:val="0"/>
                <w:szCs w:val="22"/>
                <w:u w:val="none"/>
              </w:rPr>
            </w:pPr>
            <w:r w:rsidRPr="002F6773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  <w:tr w:rsidR="0064611B" w14:paraId="02008D9B" w14:textId="77777777" w:rsidTr="005344E8">
        <w:trPr>
          <w:trHeight w:val="615"/>
        </w:trPr>
        <w:tc>
          <w:tcPr>
            <w:tcW w:w="4358" w:type="dxa"/>
            <w:gridSpan w:val="3"/>
          </w:tcPr>
          <w:p w14:paraId="52DA0619" w14:textId="77777777" w:rsidR="0064611B" w:rsidRPr="00A774D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ind w:left="-35"/>
              <w:jc w:val="both"/>
              <w:rPr>
                <w:rStyle w:val="l-L2Char"/>
                <w:rFonts w:cs="Arial"/>
                <w:szCs w:val="22"/>
                <w:u w:val="none"/>
              </w:rPr>
            </w:pPr>
            <w:r w:rsidRPr="00A774DB">
              <w:rPr>
                <w:rStyle w:val="l-L2Char"/>
                <w:rFonts w:cs="Arial"/>
                <w:szCs w:val="22"/>
                <w:u w:val="none"/>
              </w:rPr>
              <w:t xml:space="preserve">Cena celkem </w:t>
            </w:r>
          </w:p>
        </w:tc>
        <w:tc>
          <w:tcPr>
            <w:tcW w:w="1386" w:type="dxa"/>
          </w:tcPr>
          <w:p w14:paraId="1128C6B3" w14:textId="77777777" w:rsidR="0064611B" w:rsidRPr="00A774D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szCs w:val="22"/>
                <w:u w:val="none"/>
              </w:rPr>
            </w:pPr>
            <w:r w:rsidRPr="00A774DB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253" w:type="dxa"/>
          </w:tcPr>
          <w:p w14:paraId="645B7DCB" w14:textId="77777777" w:rsidR="0064611B" w:rsidRPr="00A774D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szCs w:val="22"/>
                <w:u w:val="none"/>
              </w:rPr>
            </w:pPr>
            <w:r w:rsidRPr="00A774DB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  <w:tc>
          <w:tcPr>
            <w:tcW w:w="1580" w:type="dxa"/>
          </w:tcPr>
          <w:p w14:paraId="24F5BA80" w14:textId="77777777" w:rsidR="0064611B" w:rsidRPr="00A774DB" w:rsidRDefault="0064611B" w:rsidP="005344E8">
            <w:pPr>
              <w:pStyle w:val="l-L1"/>
              <w:numPr>
                <w:ilvl w:val="0"/>
                <w:numId w:val="0"/>
              </w:numPr>
              <w:spacing w:before="120" w:after="120"/>
              <w:jc w:val="both"/>
              <w:rPr>
                <w:rStyle w:val="l-L2Char"/>
                <w:rFonts w:cs="Arial"/>
                <w:szCs w:val="22"/>
                <w:u w:val="none"/>
              </w:rPr>
            </w:pPr>
            <w:r w:rsidRPr="00A774DB">
              <w:rPr>
                <w:rFonts w:ascii="Arial" w:hAnsi="Arial" w:cs="Arial"/>
                <w:bCs/>
                <w:snapToGrid w:val="0"/>
                <w:szCs w:val="22"/>
                <w:highlight w:val="yellow"/>
              </w:rPr>
              <w:t>[DOPLNIT]</w:t>
            </w:r>
          </w:p>
        </w:tc>
      </w:tr>
    </w:tbl>
    <w:p w14:paraId="112171DD" w14:textId="77777777" w:rsidR="003A3D12" w:rsidRPr="004D5F78" w:rsidRDefault="003A3D12" w:rsidP="003A3D12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C16DC20" w14:textId="0CE728A0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CEA5DD5" w14:textId="2D0424E4" w:rsidR="00712A60" w:rsidRPr="00712A60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64611B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64611B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64611B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po právní moci </w:t>
      </w:r>
      <w:proofErr w:type="gramStart"/>
      <w:r w:rsidRPr="0064611B">
        <w:rPr>
          <w:rStyle w:val="l-L2Char"/>
          <w:rFonts w:cs="Arial"/>
          <w:b w:val="0"/>
          <w:szCs w:val="22"/>
          <w:u w:val="none"/>
        </w:rPr>
        <w:t>rozhodnutí - stavební</w:t>
      </w:r>
      <w:proofErr w:type="gramEnd"/>
      <w:r w:rsidRPr="0064611B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2AFB8A19" w:rsidR="00C75A45" w:rsidRPr="004D5F78" w:rsidRDefault="00C75A45" w:rsidP="0064611B">
      <w:pPr>
        <w:pStyle w:val="l-L1"/>
        <w:keepNext w:val="0"/>
        <w:numPr>
          <w:ilvl w:val="0"/>
          <w:numId w:val="0"/>
        </w:numPr>
        <w:spacing w:before="120" w:after="120"/>
        <w:ind w:left="708" w:firstLine="2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r w:rsidR="0064611B">
        <w:rPr>
          <w:rFonts w:ascii="Arial" w:hAnsi="Arial" w:cs="Arial"/>
          <w:b w:val="0"/>
          <w:szCs w:val="22"/>
          <w:lang w:val="en-US"/>
        </w:rPr>
        <w:t xml:space="preserve">Děčín, ul. 28. </w:t>
      </w:r>
      <w:proofErr w:type="spellStart"/>
      <w:r w:rsidR="0064611B">
        <w:rPr>
          <w:rFonts w:ascii="Arial" w:hAnsi="Arial" w:cs="Arial"/>
          <w:b w:val="0"/>
          <w:szCs w:val="22"/>
          <w:lang w:val="en-US"/>
        </w:rPr>
        <w:t>října</w:t>
      </w:r>
      <w:proofErr w:type="spellEnd"/>
      <w:r w:rsidR="0064611B">
        <w:rPr>
          <w:rFonts w:ascii="Arial" w:hAnsi="Arial" w:cs="Arial"/>
          <w:b w:val="0"/>
          <w:szCs w:val="22"/>
          <w:lang w:val="en-US"/>
        </w:rPr>
        <w:t xml:space="preserve"> 979/19, 405 </w:t>
      </w:r>
      <w:proofErr w:type="gramStart"/>
      <w:r w:rsidR="0064611B">
        <w:rPr>
          <w:rFonts w:ascii="Arial" w:hAnsi="Arial" w:cs="Arial"/>
          <w:b w:val="0"/>
          <w:szCs w:val="22"/>
          <w:lang w:val="en-US"/>
        </w:rPr>
        <w:t>02  Děčín</w:t>
      </w:r>
      <w:proofErr w:type="gramEnd"/>
      <w:r w:rsidR="0064611B">
        <w:rPr>
          <w:rFonts w:ascii="Arial" w:hAnsi="Arial" w:cs="Arial"/>
          <w:b w:val="0"/>
          <w:szCs w:val="22"/>
          <w:lang w:val="en-US"/>
        </w:rPr>
        <w:t xml:space="preserve"> I</w:t>
      </w:r>
    </w:p>
    <w:p w14:paraId="747EE6F8" w14:textId="54D075F1" w:rsidR="00532A42" w:rsidRPr="005202FA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dobu 60 dnů. Objednatel se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22804E5B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</w:t>
      </w:r>
    </w:p>
    <w:p w14:paraId="1AFFD350" w14:textId="4A77E761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1EB04243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6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6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5202FA" w:rsidRDefault="00261C1F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 w:rsidRPr="00261C1F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261C1F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261C1F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84316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0A83251C" w14:textId="667E3B91" w:rsidR="00712A60" w:rsidRPr="00D72186" w:rsidRDefault="00712A60" w:rsidP="00712A60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  <w:highlight w:val="green"/>
        </w:rPr>
      </w:pPr>
      <w:bookmarkStart w:id="7" w:name="_Hlk19543338"/>
      <w:r w:rsidRPr="00843160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Pr="00843160">
        <w:rPr>
          <w:rFonts w:cs="Arial"/>
          <w:szCs w:val="22"/>
        </w:rPr>
        <w:t xml:space="preserve">nejméně </w:t>
      </w:r>
      <w:r w:rsidR="00BB1545" w:rsidRPr="00800EE4">
        <w:rPr>
          <w:rFonts w:cs="Arial"/>
        </w:rPr>
        <w:t xml:space="preserve"> </w:t>
      </w:r>
      <w:r w:rsidR="0064611B" w:rsidRPr="0064611B">
        <w:rPr>
          <w:rFonts w:cs="Arial"/>
          <w:b/>
          <w:szCs w:val="22"/>
        </w:rPr>
        <w:t>500</w:t>
      </w:r>
      <w:proofErr w:type="gramEnd"/>
      <w:r w:rsidR="0064611B" w:rsidRPr="0064611B">
        <w:rPr>
          <w:rFonts w:cs="Arial"/>
          <w:b/>
          <w:szCs w:val="22"/>
        </w:rPr>
        <w:t> 000 Kč.</w:t>
      </w:r>
      <w:r w:rsidRPr="0064611B">
        <w:rPr>
          <w:rFonts w:cs="Arial"/>
          <w:szCs w:val="22"/>
        </w:rPr>
        <w:t xml:space="preserve"> Zhotovitel</w:t>
      </w:r>
      <w:r w:rsidRPr="00843160">
        <w:rPr>
          <w:rFonts w:cs="Arial"/>
          <w:szCs w:val="22"/>
        </w:rPr>
        <w:t xml:space="preserve"> se zavazuje, že po celou dobu trvání této smlouvy bude pojištěn ve smyslu tohoto ustanovení a že nedojde ke snížení pojistné částky pod částku uvedenou v předchozí větě. </w:t>
      </w:r>
      <w:r w:rsidR="00261C1F" w:rsidRPr="00843160">
        <w:rPr>
          <w:rFonts w:cs="Arial"/>
          <w:szCs w:val="22"/>
        </w:rPr>
        <w:t>Na žád</w:t>
      </w:r>
      <w:r w:rsidR="00261C1F" w:rsidRPr="00261C1F">
        <w:rPr>
          <w:rFonts w:cs="Arial"/>
          <w:szCs w:val="22"/>
        </w:rPr>
        <w:t xml:space="preserve">ost objednatele je zhotovitel </w:t>
      </w:r>
      <w:proofErr w:type="gramStart"/>
      <w:r w:rsidR="00261C1F" w:rsidRPr="00261C1F">
        <w:rPr>
          <w:rFonts w:cs="Arial"/>
          <w:szCs w:val="22"/>
        </w:rPr>
        <w:t>povinen  kdykoliv</w:t>
      </w:r>
      <w:proofErr w:type="gramEnd"/>
      <w:r w:rsidR="00261C1F" w:rsidRPr="00261C1F">
        <w:rPr>
          <w:rFonts w:cs="Arial"/>
          <w:szCs w:val="22"/>
        </w:rPr>
        <w:t xml:space="preserve"> </w:t>
      </w:r>
      <w:r w:rsidR="00261C1F" w:rsidRPr="00843160">
        <w:rPr>
          <w:rFonts w:cs="Arial"/>
          <w:szCs w:val="22"/>
        </w:rPr>
        <w:t>předložit</w:t>
      </w:r>
      <w:r w:rsidR="00261C1F" w:rsidRPr="00261C1F">
        <w:rPr>
          <w:rFonts w:cs="Arial"/>
          <w:szCs w:val="22"/>
        </w:rPr>
        <w:t xml:space="preserve"> ve lhůtě 3 dnů uspokojivé doklady o tom, že pojistná smlouvy uzavřené zhotovitelem jsou a zůstávají v platnosti a účinnosti po celou dobu trvání této smlouvy a záruční doby z ní vyplývající.</w:t>
      </w:r>
    </w:p>
    <w:bookmarkEnd w:id="7"/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8" w:name="_Ref376798291"/>
      <w:r w:rsidRPr="004D5F78">
        <w:rPr>
          <w:rFonts w:ascii="Arial" w:hAnsi="Arial" w:cs="Arial"/>
          <w:szCs w:val="22"/>
        </w:rPr>
        <w:t>Licenční ujednání</w:t>
      </w:r>
      <w:bookmarkEnd w:id="8"/>
    </w:p>
    <w:p w14:paraId="63895710" w14:textId="13325046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7FDC2E9B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části </w:t>
      </w:r>
      <w:r w:rsidR="0064611B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dle čl. V odst. 5. 2 dílčího plnění dle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Smlouvy  za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každý byť i jen započatý den prodlení.</w:t>
      </w:r>
    </w:p>
    <w:p w14:paraId="6E339BF8" w14:textId="2A63A846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0767007A" w:rsidR="00E44EC3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highlight w:val="green"/>
          <w:u w:val="none"/>
        </w:rPr>
      </w:pPr>
      <w:r w:rsidRPr="0064611B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158A040B" w14:textId="3CF4E68C" w:rsidR="003B5DCD" w:rsidRPr="003B5DCD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proofErr w:type="gramStart"/>
      <w:r w:rsidRPr="00AE265B">
        <w:rPr>
          <w:szCs w:val="22"/>
          <w:lang w:eastAsia="en-US"/>
        </w:rPr>
        <w:t>0,2%</w:t>
      </w:r>
      <w:proofErr w:type="gramEnd"/>
      <w:r w:rsidRPr="00AE265B">
        <w:rPr>
          <w:szCs w:val="22"/>
          <w:lang w:eastAsia="en-US"/>
        </w:rPr>
        <w:t xml:space="preserve"> z ceny díla 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BCEF35E" w14:textId="0D49C4D5" w:rsidR="00E839E9" w:rsidRDefault="00E839E9">
      <w:pPr>
        <w:spacing w:after="0" w:line="240" w:lineRule="auto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br w:type="page"/>
      </w:r>
    </w:p>
    <w:p w14:paraId="6210D2A1" w14:textId="77777777" w:rsidR="00CD1317" w:rsidRPr="004D5F78" w:rsidRDefault="00CD1317" w:rsidP="003B5DCD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614A0D82" w:rsidR="00EE35A9" w:rsidRPr="00843160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5CB2236B" w:rsidR="00A5565A" w:rsidRPr="00A5565A" w:rsidRDefault="00A5565A" w:rsidP="00A5565A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smlouvy je </w:t>
      </w:r>
      <w:r w:rsidRPr="00882BD2">
        <w:rPr>
          <w:rStyle w:val="l-L2Char"/>
          <w:rFonts w:cs="Arial"/>
          <w:b w:val="0"/>
          <w:szCs w:val="22"/>
          <w:u w:val="none"/>
        </w:rPr>
        <w:t>Plná moc k zastupování SPÚ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831E7C" w14:textId="2D8F9FF3" w:rsidR="00A50845" w:rsidRPr="00843160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7AD62BF1" w14:textId="77777777" w:rsidR="005344E8" w:rsidRPr="005344E8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18ABA465" w14:textId="77777777" w:rsidR="005344E8" w:rsidRDefault="005344E8" w:rsidP="005344E8">
      <w:pPr>
        <w:spacing w:line="276" w:lineRule="auto"/>
        <w:ind w:left="1276"/>
        <w:jc w:val="both"/>
        <w:rPr>
          <w:rFonts w:cs="Arial"/>
        </w:rPr>
      </w:pPr>
      <w:proofErr w:type="gramStart"/>
      <w:r>
        <w:rPr>
          <w:rFonts w:cs="Arial"/>
          <w:b/>
        </w:rPr>
        <w:t>SO1 - rekonstrukce</w:t>
      </w:r>
      <w:proofErr w:type="gramEnd"/>
      <w:r>
        <w:rPr>
          <w:rFonts w:cs="Arial"/>
          <w:b/>
        </w:rPr>
        <w:t xml:space="preserve"> </w:t>
      </w:r>
      <w:r w:rsidRPr="008D2FF3">
        <w:rPr>
          <w:rFonts w:cs="Arial"/>
          <w:b/>
        </w:rPr>
        <w:t>Vodní nádrž</w:t>
      </w:r>
      <w:r>
        <w:rPr>
          <w:rFonts w:cs="Arial"/>
          <w:b/>
        </w:rPr>
        <w:t>e</w:t>
      </w:r>
      <w:r w:rsidRPr="008D2FF3">
        <w:rPr>
          <w:rFonts w:cs="Arial"/>
          <w:b/>
        </w:rPr>
        <w:t xml:space="preserve"> 1 </w:t>
      </w:r>
    </w:p>
    <w:p w14:paraId="0AD12E05" w14:textId="297AFBDA" w:rsidR="005344E8" w:rsidRPr="009E02D8" w:rsidRDefault="005344E8" w:rsidP="005344E8">
      <w:pPr>
        <w:spacing w:line="276" w:lineRule="auto"/>
        <w:ind w:left="1276"/>
        <w:jc w:val="both"/>
        <w:rPr>
          <w:rFonts w:cs="Arial"/>
        </w:rPr>
      </w:pPr>
      <w:r>
        <w:rPr>
          <w:rFonts w:cs="Arial"/>
        </w:rPr>
        <w:t>N</w:t>
      </w:r>
      <w:r w:rsidRPr="009E02D8">
        <w:rPr>
          <w:rFonts w:cs="Arial"/>
        </w:rPr>
        <w:t>efunkční malá vodní nádrž obdélníkového tvaru s</w:t>
      </w:r>
      <w:r>
        <w:rPr>
          <w:rFonts w:cs="Arial"/>
        </w:rPr>
        <w:t> </w:t>
      </w:r>
      <w:r w:rsidRPr="009E02D8">
        <w:rPr>
          <w:rFonts w:cs="Arial"/>
        </w:rPr>
        <w:t>kolmými</w:t>
      </w:r>
      <w:r>
        <w:rPr>
          <w:rFonts w:cs="Arial"/>
        </w:rPr>
        <w:t xml:space="preserve"> železobetonovými</w:t>
      </w:r>
      <w:r w:rsidRPr="009E02D8">
        <w:rPr>
          <w:rFonts w:cs="Arial"/>
        </w:rPr>
        <w:t xml:space="preserve"> břehy</w:t>
      </w:r>
      <w:r>
        <w:rPr>
          <w:rFonts w:cs="Arial"/>
        </w:rPr>
        <w:t xml:space="preserve"> určená k rekonstrukci do přírodě blízkého vzhledu</w:t>
      </w:r>
      <w:r w:rsidRPr="009E02D8">
        <w:rPr>
          <w:rFonts w:cs="Arial"/>
        </w:rPr>
        <w:t>. Stavební objekt se skl</w:t>
      </w:r>
      <w:r>
        <w:rPr>
          <w:rFonts w:cs="Arial"/>
        </w:rPr>
        <w:t>ádá z: o</w:t>
      </w:r>
      <w:r w:rsidRPr="009E02D8">
        <w:rPr>
          <w:rFonts w:cs="Arial"/>
        </w:rPr>
        <w:t>dběrný objekt</w:t>
      </w:r>
      <w:r>
        <w:rPr>
          <w:rFonts w:cs="Arial"/>
        </w:rPr>
        <w:t>, p</w:t>
      </w:r>
      <w:r w:rsidRPr="009E02D8">
        <w:rPr>
          <w:rFonts w:cs="Arial"/>
        </w:rPr>
        <w:t>ropustek pod stávající komunikací</w:t>
      </w:r>
      <w:r>
        <w:rPr>
          <w:rFonts w:cs="Arial"/>
        </w:rPr>
        <w:t>, p</w:t>
      </w:r>
      <w:r w:rsidRPr="009E02D8">
        <w:rPr>
          <w:rFonts w:cs="Arial"/>
        </w:rPr>
        <w:t xml:space="preserve">řivaděč k vodní </w:t>
      </w:r>
      <w:proofErr w:type="gramStart"/>
      <w:r w:rsidRPr="009E02D8">
        <w:rPr>
          <w:rFonts w:cs="Arial"/>
        </w:rPr>
        <w:t>nádrži</w:t>
      </w:r>
      <w:r>
        <w:rPr>
          <w:rFonts w:cs="Arial"/>
        </w:rPr>
        <w:t xml:space="preserve"> - </w:t>
      </w:r>
      <w:r w:rsidRPr="009E02D8">
        <w:rPr>
          <w:rFonts w:cs="Arial"/>
        </w:rPr>
        <w:t>otevřený</w:t>
      </w:r>
      <w:proofErr w:type="gramEnd"/>
      <w:r w:rsidRPr="009E02D8">
        <w:rPr>
          <w:rFonts w:cs="Arial"/>
        </w:rPr>
        <w:t xml:space="preserve"> příkop</w:t>
      </w:r>
      <w:r>
        <w:rPr>
          <w:rFonts w:cs="Arial"/>
        </w:rPr>
        <w:t xml:space="preserve"> a sedimentační před zdrž, r</w:t>
      </w:r>
      <w:r w:rsidRPr="009E02D8">
        <w:rPr>
          <w:rFonts w:cs="Arial"/>
        </w:rPr>
        <w:t>ekonstrukce vodní nádrže</w:t>
      </w:r>
      <w:r>
        <w:rPr>
          <w:rFonts w:cs="Arial"/>
        </w:rPr>
        <w:t xml:space="preserve"> - d</w:t>
      </w:r>
      <w:r w:rsidRPr="001C2E42">
        <w:rPr>
          <w:rFonts w:cs="Arial"/>
        </w:rPr>
        <w:t xml:space="preserve">no a stěny nádrže budou sanovány a budou obnoveny hydroizolační vlastnosti konstrukcí. Stěny nádrže budou z vnější strany přisypány hutněnou zeminou, která bude </w:t>
      </w:r>
      <w:proofErr w:type="spellStart"/>
      <w:r w:rsidRPr="001C2E42">
        <w:rPr>
          <w:rFonts w:cs="Arial"/>
        </w:rPr>
        <w:t>vysvahována</w:t>
      </w:r>
      <w:proofErr w:type="spellEnd"/>
      <w:r w:rsidRPr="001C2E42">
        <w:rPr>
          <w:rFonts w:cs="Arial"/>
        </w:rPr>
        <w:t xml:space="preserve"> do stávajícího terénu v poměru min. </w:t>
      </w:r>
      <w:proofErr w:type="gramStart"/>
      <w:r w:rsidRPr="001C2E42">
        <w:rPr>
          <w:rFonts w:cs="Arial"/>
        </w:rPr>
        <w:t>1 :</w:t>
      </w:r>
      <w:proofErr w:type="gramEnd"/>
      <w:r w:rsidRPr="001C2E42">
        <w:rPr>
          <w:rFonts w:cs="Arial"/>
        </w:rPr>
        <w:t xml:space="preserve"> 3. Násep zeminy bude tvořit hráz s proměnlivou šířkou koruny, min. 1 m. Vnitřní stěna nádrže bude přibetonována takovým způsobem, aby obvod vodní hladiny působil přirozeným tvarem. Viditelné plochy budou obloženy kamenem. Návrhové parametry nádrže:</w:t>
      </w:r>
      <w:r>
        <w:rPr>
          <w:rFonts w:cs="Arial"/>
        </w:rPr>
        <w:t xml:space="preserve"> </w:t>
      </w:r>
      <w:r w:rsidRPr="001C2E42">
        <w:rPr>
          <w:rFonts w:cs="Arial"/>
        </w:rPr>
        <w:t>p</w:t>
      </w:r>
      <w:r>
        <w:rPr>
          <w:rFonts w:cs="Arial"/>
        </w:rPr>
        <w:t xml:space="preserve">locha vodní hladiny </w:t>
      </w:r>
      <w:proofErr w:type="gramStart"/>
      <w:r>
        <w:rPr>
          <w:rFonts w:cs="Arial"/>
        </w:rPr>
        <w:t>240</w:t>
      </w:r>
      <w:r w:rsidRPr="001C2E42">
        <w:rPr>
          <w:rFonts w:cs="Arial"/>
        </w:rPr>
        <w:t>m</w:t>
      </w:r>
      <w:r w:rsidRPr="001C2E42">
        <w:rPr>
          <w:rFonts w:cs="Arial"/>
          <w:vertAlign w:val="superscript"/>
        </w:rPr>
        <w:t>2</w:t>
      </w:r>
      <w:proofErr w:type="gramEnd"/>
      <w:r>
        <w:rPr>
          <w:rFonts w:cs="Arial"/>
        </w:rPr>
        <w:t xml:space="preserve">, </w:t>
      </w:r>
      <w:r w:rsidRPr="001C2E42">
        <w:rPr>
          <w:rFonts w:cs="Arial"/>
        </w:rPr>
        <w:t>p</w:t>
      </w:r>
      <w:r>
        <w:rPr>
          <w:rFonts w:cs="Arial"/>
        </w:rPr>
        <w:t xml:space="preserve">růměrná hloubka </w:t>
      </w:r>
      <w:r w:rsidRPr="001C2E42">
        <w:rPr>
          <w:rFonts w:cs="Arial"/>
        </w:rPr>
        <w:t>1,6 m</w:t>
      </w:r>
      <w:r>
        <w:rPr>
          <w:rFonts w:cs="Arial"/>
        </w:rPr>
        <w:t xml:space="preserve">, </w:t>
      </w:r>
      <w:r w:rsidRPr="001C2E42">
        <w:rPr>
          <w:rFonts w:cs="Arial"/>
        </w:rPr>
        <w:t>o</w:t>
      </w:r>
      <w:r>
        <w:rPr>
          <w:rFonts w:cs="Arial"/>
        </w:rPr>
        <w:t xml:space="preserve">bjem vody v nádrži </w:t>
      </w:r>
      <w:r w:rsidRPr="001C2E42">
        <w:rPr>
          <w:rFonts w:cs="Arial"/>
        </w:rPr>
        <w:t>384 m</w:t>
      </w:r>
      <w:r w:rsidRPr="001C2E42">
        <w:rPr>
          <w:rFonts w:cs="Arial"/>
          <w:vertAlign w:val="superscript"/>
        </w:rPr>
        <w:t>3</w:t>
      </w:r>
      <w:r>
        <w:rPr>
          <w:rFonts w:cs="Arial"/>
        </w:rPr>
        <w:t>, v</w:t>
      </w:r>
      <w:r w:rsidRPr="009E02D8">
        <w:rPr>
          <w:rFonts w:cs="Arial"/>
        </w:rPr>
        <w:t>ýpustné zařízení</w:t>
      </w:r>
      <w:r>
        <w:rPr>
          <w:rFonts w:cs="Arial"/>
        </w:rPr>
        <w:t xml:space="preserve"> - potrubí a požerák, o</w:t>
      </w:r>
      <w:r w:rsidRPr="009E02D8">
        <w:rPr>
          <w:rFonts w:cs="Arial"/>
        </w:rPr>
        <w:t>dpadní kanál</w:t>
      </w:r>
      <w:r>
        <w:rPr>
          <w:rFonts w:cs="Arial"/>
        </w:rPr>
        <w:t xml:space="preserve"> - otevřený příkop délky 40m, r</w:t>
      </w:r>
      <w:r w:rsidRPr="009E02D8">
        <w:rPr>
          <w:rFonts w:cs="Arial"/>
        </w:rPr>
        <w:t>ekonstrukce propustku P1</w:t>
      </w:r>
      <w:r>
        <w:rPr>
          <w:rFonts w:cs="Arial"/>
        </w:rPr>
        <w:t xml:space="preserve"> pod stávající cestou C3. Doprovodná výsadba.</w:t>
      </w:r>
    </w:p>
    <w:p w14:paraId="15DF1BF5" w14:textId="77777777" w:rsidR="005344E8" w:rsidRDefault="005344E8" w:rsidP="005344E8">
      <w:pPr>
        <w:spacing w:line="276" w:lineRule="auto"/>
        <w:ind w:left="1276"/>
        <w:jc w:val="both"/>
        <w:rPr>
          <w:rFonts w:cs="Arial"/>
        </w:rPr>
      </w:pPr>
      <w:proofErr w:type="gramStart"/>
      <w:r>
        <w:rPr>
          <w:rFonts w:cs="Arial"/>
          <w:b/>
        </w:rPr>
        <w:t>SO2 - ochranný</w:t>
      </w:r>
      <w:proofErr w:type="gramEnd"/>
      <w:r>
        <w:rPr>
          <w:rFonts w:cs="Arial"/>
          <w:b/>
        </w:rPr>
        <w:t xml:space="preserve"> příkop OP1</w:t>
      </w:r>
      <w:r w:rsidRPr="001C2E42">
        <w:rPr>
          <w:rFonts w:cs="Arial"/>
          <w:b/>
        </w:rPr>
        <w:t xml:space="preserve"> </w:t>
      </w:r>
    </w:p>
    <w:p w14:paraId="5C87B739" w14:textId="36A31575" w:rsidR="005344E8" w:rsidRDefault="005344E8" w:rsidP="005344E8">
      <w:pPr>
        <w:spacing w:line="276" w:lineRule="auto"/>
        <w:ind w:left="1276"/>
        <w:jc w:val="both"/>
        <w:rPr>
          <w:rFonts w:cs="Arial"/>
          <w:bCs/>
          <w:iCs/>
        </w:rPr>
      </w:pPr>
      <w:r>
        <w:rPr>
          <w:rFonts w:cs="Arial"/>
        </w:rPr>
        <w:t xml:space="preserve">příkop délky 456 m, šířka v břehových hranách 1,5 m, hloubka </w:t>
      </w:r>
      <w:proofErr w:type="gramStart"/>
      <w:r>
        <w:rPr>
          <w:rFonts w:cs="Arial"/>
        </w:rPr>
        <w:t>příkopu  0</w:t>
      </w:r>
      <w:proofErr w:type="gramEnd"/>
      <w:r>
        <w:rPr>
          <w:rFonts w:cs="Arial"/>
        </w:rPr>
        <w:t>,5 m</w:t>
      </w:r>
      <w:r w:rsidRPr="001C2E42">
        <w:rPr>
          <w:rFonts w:cs="Arial"/>
        </w:rPr>
        <w:t xml:space="preserve"> kříží cestu C14</w:t>
      </w:r>
      <w:r>
        <w:rPr>
          <w:rFonts w:cs="Arial"/>
        </w:rPr>
        <w:t xml:space="preserve"> určenou k rekonstrukci</w:t>
      </w:r>
      <w:r w:rsidRPr="001C2E42">
        <w:rPr>
          <w:rFonts w:cs="Arial"/>
        </w:rPr>
        <w:t xml:space="preserve"> propustkem P6, DN600</w:t>
      </w:r>
      <w:r>
        <w:rPr>
          <w:rFonts w:cs="Arial"/>
        </w:rPr>
        <w:t xml:space="preserve">. Za propustkem se příkop mění v širší </w:t>
      </w:r>
      <w:r w:rsidRPr="001C2E42">
        <w:rPr>
          <w:rFonts w:cs="Arial"/>
        </w:rPr>
        <w:t xml:space="preserve"> průleh</w:t>
      </w:r>
      <w:r>
        <w:rPr>
          <w:rFonts w:cs="Arial"/>
        </w:rPr>
        <w:t xml:space="preserve"> délky </w:t>
      </w:r>
      <w:r w:rsidRPr="001C2E42">
        <w:rPr>
          <w:rFonts w:cs="Arial"/>
        </w:rPr>
        <w:t>100 m</w:t>
      </w:r>
      <w:r>
        <w:rPr>
          <w:rFonts w:cs="Arial"/>
        </w:rPr>
        <w:t xml:space="preserve">, </w:t>
      </w:r>
      <w:r w:rsidRPr="001C2E42">
        <w:rPr>
          <w:rFonts w:cs="Arial"/>
        </w:rPr>
        <w:t>š</w:t>
      </w:r>
      <w:r>
        <w:rPr>
          <w:rFonts w:cs="Arial"/>
        </w:rPr>
        <w:t xml:space="preserve">ířka v břehových hranách </w:t>
      </w:r>
      <w:r w:rsidRPr="001C2E42">
        <w:rPr>
          <w:rFonts w:cs="Arial"/>
        </w:rPr>
        <w:t>5,0 m</w:t>
      </w:r>
      <w:r>
        <w:rPr>
          <w:rFonts w:cs="Arial"/>
        </w:rPr>
        <w:t xml:space="preserve">, </w:t>
      </w:r>
      <w:r w:rsidRPr="001C2E42">
        <w:rPr>
          <w:rFonts w:cs="Arial"/>
        </w:rPr>
        <w:t>š</w:t>
      </w:r>
      <w:r>
        <w:rPr>
          <w:rFonts w:cs="Arial"/>
        </w:rPr>
        <w:t>ířka dna 3,0</w:t>
      </w:r>
      <w:r w:rsidRPr="001C2E42">
        <w:rPr>
          <w:rFonts w:cs="Arial"/>
        </w:rPr>
        <w:t>m</w:t>
      </w:r>
      <w:r>
        <w:rPr>
          <w:rFonts w:cs="Arial"/>
        </w:rPr>
        <w:t xml:space="preserve">, </w:t>
      </w:r>
      <w:r w:rsidRPr="001C2E42">
        <w:rPr>
          <w:rFonts w:cs="Arial"/>
        </w:rPr>
        <w:t>hloubka průlehu</w:t>
      </w:r>
      <w:r>
        <w:rPr>
          <w:rFonts w:cs="Arial"/>
        </w:rPr>
        <w:t xml:space="preserve">  </w:t>
      </w:r>
      <w:r w:rsidRPr="001C2E42">
        <w:rPr>
          <w:rFonts w:cs="Arial"/>
        </w:rPr>
        <w:t>0,5 m</w:t>
      </w:r>
      <w:r>
        <w:rPr>
          <w:rFonts w:cs="Arial"/>
        </w:rPr>
        <w:t xml:space="preserve">. </w:t>
      </w:r>
      <w:r w:rsidRPr="001C2E42">
        <w:rPr>
          <w:rFonts w:cs="Arial"/>
          <w:bCs/>
          <w:iCs/>
        </w:rPr>
        <w:t xml:space="preserve">Koryto průlehu kříží </w:t>
      </w:r>
      <w:r>
        <w:rPr>
          <w:rFonts w:cs="Arial"/>
          <w:bCs/>
          <w:iCs/>
        </w:rPr>
        <w:t xml:space="preserve">stávající </w:t>
      </w:r>
      <w:r w:rsidRPr="001C2E42">
        <w:rPr>
          <w:rFonts w:cs="Arial"/>
          <w:bCs/>
          <w:iCs/>
        </w:rPr>
        <w:t xml:space="preserve">polní cestu C8, křížení bude realizováno pomocí stabilizovaného brodu B4 v km 0,04 o délce 28 m a šířce 3 m. </w:t>
      </w:r>
      <w:r>
        <w:rPr>
          <w:rFonts w:cs="Arial"/>
          <w:bCs/>
          <w:iCs/>
        </w:rPr>
        <w:t xml:space="preserve">Zasahuje </w:t>
      </w:r>
      <w:r w:rsidRPr="001C2E42">
        <w:rPr>
          <w:rFonts w:cs="Arial"/>
          <w:bCs/>
          <w:iCs/>
        </w:rPr>
        <w:t xml:space="preserve">do ochranného pásma </w:t>
      </w:r>
      <w:r>
        <w:rPr>
          <w:rFonts w:cs="Arial"/>
          <w:bCs/>
          <w:iCs/>
        </w:rPr>
        <w:t xml:space="preserve">nadzemního </w:t>
      </w:r>
      <w:r w:rsidRPr="001C2E42">
        <w:rPr>
          <w:rFonts w:cs="Arial"/>
          <w:bCs/>
          <w:iCs/>
        </w:rPr>
        <w:t>VN</w:t>
      </w:r>
      <w:r>
        <w:rPr>
          <w:rFonts w:cs="Arial"/>
          <w:bCs/>
          <w:iCs/>
        </w:rPr>
        <w:t xml:space="preserve"> vedení. </w:t>
      </w:r>
      <w:r w:rsidRPr="001C2E42">
        <w:rPr>
          <w:rFonts w:cs="Arial"/>
          <w:bCs/>
          <w:iCs/>
        </w:rPr>
        <w:t>Koryto Rychnovského potoka v místě zaústění průlehu bude stabilizováno záhozem z lomového kamene.</w:t>
      </w:r>
    </w:p>
    <w:p w14:paraId="5D8CDDF9" w14:textId="77777777" w:rsidR="005344E8" w:rsidRPr="006871CC" w:rsidRDefault="005344E8" w:rsidP="005344E8">
      <w:pPr>
        <w:ind w:left="1276"/>
        <w:jc w:val="both"/>
        <w:rPr>
          <w:rFonts w:cs="Arial"/>
          <w:b/>
        </w:rPr>
      </w:pPr>
      <w:r w:rsidRPr="006871CC">
        <w:rPr>
          <w:rFonts w:cs="Arial"/>
          <w:b/>
        </w:rPr>
        <w:t>SO</w:t>
      </w:r>
      <w:r>
        <w:rPr>
          <w:rFonts w:cs="Arial"/>
          <w:b/>
        </w:rPr>
        <w:t>3</w:t>
      </w:r>
      <w:r w:rsidRPr="006871CC">
        <w:rPr>
          <w:rFonts w:cs="Arial"/>
          <w:b/>
        </w:rPr>
        <w:t xml:space="preserve"> – </w:t>
      </w:r>
      <w:r>
        <w:rPr>
          <w:rFonts w:cs="Arial"/>
          <w:b/>
        </w:rPr>
        <w:t xml:space="preserve">polní cesta propojující katastry </w:t>
      </w:r>
    </w:p>
    <w:p w14:paraId="002C7240" w14:textId="77777777" w:rsidR="005344E8" w:rsidRDefault="005344E8" w:rsidP="005344E8">
      <w:pPr>
        <w:ind w:left="1276"/>
        <w:jc w:val="both"/>
        <w:rPr>
          <w:rFonts w:cs="Arial"/>
          <w:bCs/>
        </w:rPr>
      </w:pPr>
      <w:r>
        <w:rPr>
          <w:rFonts w:cs="Arial"/>
          <w:bCs/>
        </w:rPr>
        <w:t>Souvislá cesta rozčleněná návrhy na polní cestu C14 s cestním příkopem SP2 v </w:t>
      </w:r>
      <w:proofErr w:type="spellStart"/>
      <w:r>
        <w:rPr>
          <w:rFonts w:cs="Arial"/>
          <w:bCs/>
        </w:rPr>
        <w:t>k.ú</w:t>
      </w:r>
      <w:proofErr w:type="spellEnd"/>
      <w:r>
        <w:rPr>
          <w:rFonts w:cs="Arial"/>
          <w:bCs/>
        </w:rPr>
        <w:t xml:space="preserve">. </w:t>
      </w:r>
      <w:proofErr w:type="spellStart"/>
      <w:r>
        <w:rPr>
          <w:rFonts w:cs="Arial"/>
          <w:bCs/>
        </w:rPr>
        <w:t>Rytířov</w:t>
      </w:r>
      <w:proofErr w:type="spellEnd"/>
      <w:r>
        <w:rPr>
          <w:rFonts w:cs="Arial"/>
          <w:bCs/>
        </w:rPr>
        <w:t xml:space="preserve">, která plynule přechází do polní cesty C11b a stávající C11a v </w:t>
      </w:r>
      <w:proofErr w:type="spellStart"/>
      <w:r>
        <w:rPr>
          <w:rFonts w:cs="Arial"/>
          <w:bCs/>
        </w:rPr>
        <w:t>k.ú</w:t>
      </w:r>
      <w:proofErr w:type="spellEnd"/>
      <w:r>
        <w:rPr>
          <w:rFonts w:cs="Arial"/>
          <w:bCs/>
        </w:rPr>
        <w:t xml:space="preserve">. Rychnov u Verneřic. Celková délka řešení </w:t>
      </w:r>
      <w:proofErr w:type="gramStart"/>
      <w:r>
        <w:rPr>
          <w:rFonts w:cs="Arial"/>
          <w:bCs/>
        </w:rPr>
        <w:t>765m</w:t>
      </w:r>
      <w:proofErr w:type="gramEnd"/>
      <w:r>
        <w:rPr>
          <w:rFonts w:cs="Arial"/>
          <w:bCs/>
        </w:rPr>
        <w:t>.</w:t>
      </w:r>
    </w:p>
    <w:p w14:paraId="7BDE23BF" w14:textId="7495EC9C" w:rsidR="005344E8" w:rsidRPr="005344E8" w:rsidRDefault="005344E8" w:rsidP="005344E8">
      <w:pPr>
        <w:ind w:left="1276"/>
        <w:jc w:val="both"/>
        <w:rPr>
          <w:rFonts w:cs="Arial"/>
          <w:iCs/>
        </w:rPr>
      </w:pPr>
      <w:r>
        <w:rPr>
          <w:rFonts w:cs="Arial"/>
          <w:bCs/>
        </w:rPr>
        <w:t xml:space="preserve">C14 – navržena v kategorii vedlejší polní </w:t>
      </w:r>
      <w:r w:rsidRPr="001B2CB3">
        <w:rPr>
          <w:rFonts w:cs="Arial"/>
        </w:rPr>
        <w:t>jednopruhová</w:t>
      </w:r>
      <w:r>
        <w:rPr>
          <w:rFonts w:cs="Arial"/>
        </w:rPr>
        <w:t xml:space="preserve"> cesta</w:t>
      </w:r>
      <w:r w:rsidRPr="001B2CB3">
        <w:rPr>
          <w:rFonts w:cs="Arial"/>
        </w:rPr>
        <w:t xml:space="preserve"> P 3,5/20,</w:t>
      </w:r>
      <w:r>
        <w:rPr>
          <w:rFonts w:cs="Arial"/>
        </w:rPr>
        <w:t xml:space="preserve"> maximálním podélným sklonem </w:t>
      </w:r>
      <w:proofErr w:type="gramStart"/>
      <w:r>
        <w:rPr>
          <w:rFonts w:cs="Arial"/>
        </w:rPr>
        <w:t>15,19%</w:t>
      </w:r>
      <w:proofErr w:type="gramEnd"/>
      <w:r>
        <w:rPr>
          <w:rFonts w:cs="Arial"/>
        </w:rPr>
        <w:t>, asfaltovým povrchem,</w:t>
      </w:r>
      <w:r w:rsidRPr="001B2CB3">
        <w:rPr>
          <w:rFonts w:cs="Arial"/>
        </w:rPr>
        <w:t xml:space="preserve"> délk</w:t>
      </w:r>
      <w:r>
        <w:rPr>
          <w:rFonts w:cs="Arial"/>
        </w:rPr>
        <w:t>y</w:t>
      </w:r>
      <w:r w:rsidRPr="001B2CB3">
        <w:rPr>
          <w:rFonts w:cs="Arial"/>
        </w:rPr>
        <w:t xml:space="preserve"> 292 m</w:t>
      </w:r>
      <w:r>
        <w:rPr>
          <w:rFonts w:cs="Arial"/>
        </w:rPr>
        <w:t xml:space="preserve"> s jednou výhybnou, rekonstruovaným propustkem P6 se sedimentační šachtou na vtoku. Cesta kříží VN a NN nadzemní vedení a vodovod, dále je v souběhu s optickým sdělovací kabelem, v rámci </w:t>
      </w:r>
      <w:proofErr w:type="spellStart"/>
      <w:r>
        <w:rPr>
          <w:rFonts w:cs="Arial"/>
        </w:rPr>
        <w:t>dtr</w:t>
      </w:r>
      <w:proofErr w:type="spellEnd"/>
      <w:r>
        <w:rPr>
          <w:rFonts w:cs="Arial"/>
        </w:rPr>
        <w:t xml:space="preserve"> řešena překládka kabelu. Realizace vyvolá kácení.</w:t>
      </w:r>
      <w:r>
        <w:rPr>
          <w:rFonts w:cs="Arial"/>
          <w:bCs/>
        </w:rPr>
        <w:t xml:space="preserve"> </w:t>
      </w:r>
      <w:r w:rsidRPr="006871CC">
        <w:rPr>
          <w:rFonts w:cs="Arial"/>
          <w:bCs/>
        </w:rPr>
        <w:t>C11a</w:t>
      </w:r>
      <w:r w:rsidRPr="006871CC">
        <w:rPr>
          <w:rFonts w:cs="Arial"/>
          <w:b/>
          <w:bCs/>
        </w:rPr>
        <w:t xml:space="preserve"> </w:t>
      </w:r>
      <w:r w:rsidRPr="006871CC">
        <w:rPr>
          <w:rFonts w:cs="Arial"/>
        </w:rPr>
        <w:t xml:space="preserve">– stávající polní cesta </w:t>
      </w:r>
      <w:r>
        <w:rPr>
          <w:rFonts w:cs="Arial"/>
        </w:rPr>
        <w:t xml:space="preserve">bez úprav, </w:t>
      </w:r>
      <w:r w:rsidRPr="006871CC">
        <w:rPr>
          <w:rFonts w:cs="Arial"/>
          <w:iCs/>
        </w:rPr>
        <w:t>navržen</w:t>
      </w:r>
      <w:r>
        <w:rPr>
          <w:rFonts w:cs="Arial"/>
          <w:iCs/>
        </w:rPr>
        <w:t xml:space="preserve">o pouze </w:t>
      </w:r>
      <w:r w:rsidRPr="006871CC">
        <w:rPr>
          <w:rFonts w:cs="Arial"/>
          <w:iCs/>
        </w:rPr>
        <w:t>rekonstrukce propustku P1 na DN 800</w:t>
      </w:r>
      <w:r>
        <w:rPr>
          <w:rFonts w:cs="Arial"/>
          <w:iCs/>
        </w:rPr>
        <w:t xml:space="preserve">. </w:t>
      </w:r>
      <w:r w:rsidRPr="006871CC">
        <w:rPr>
          <w:rFonts w:cs="Arial"/>
          <w:bCs/>
        </w:rPr>
        <w:t xml:space="preserve">C11b </w:t>
      </w:r>
      <w:r w:rsidRPr="006871CC">
        <w:rPr>
          <w:rFonts w:cs="Arial"/>
        </w:rPr>
        <w:t>–</w:t>
      </w:r>
      <w:r>
        <w:rPr>
          <w:rFonts w:cs="Arial"/>
        </w:rPr>
        <w:t xml:space="preserve"> </w:t>
      </w:r>
      <w:r w:rsidRPr="006871CC">
        <w:rPr>
          <w:rFonts w:cs="Arial"/>
        </w:rPr>
        <w:t xml:space="preserve">navazuje na cestu C11a, je vedena mezi domy a dále lesem do </w:t>
      </w:r>
      <w:proofErr w:type="spellStart"/>
      <w:r w:rsidRPr="006871CC">
        <w:rPr>
          <w:rFonts w:cs="Arial"/>
        </w:rPr>
        <w:t>k.ú</w:t>
      </w:r>
      <w:proofErr w:type="spellEnd"/>
      <w:r w:rsidRPr="006871CC">
        <w:rPr>
          <w:rFonts w:cs="Arial"/>
        </w:rPr>
        <w:t xml:space="preserve">. </w:t>
      </w:r>
      <w:proofErr w:type="spellStart"/>
      <w:r w:rsidRPr="006871CC">
        <w:rPr>
          <w:rFonts w:cs="Arial"/>
        </w:rPr>
        <w:t>Rytířov</w:t>
      </w:r>
      <w:proofErr w:type="spellEnd"/>
      <w:r w:rsidRPr="006871CC">
        <w:rPr>
          <w:rFonts w:cs="Arial"/>
        </w:rPr>
        <w:t xml:space="preserve">. </w:t>
      </w:r>
      <w:r w:rsidRPr="006871CC">
        <w:rPr>
          <w:rFonts w:cs="Arial"/>
          <w:iCs/>
        </w:rPr>
        <w:t xml:space="preserve"> </w:t>
      </w:r>
      <w:r>
        <w:rPr>
          <w:rFonts w:cs="Arial"/>
          <w:iCs/>
        </w:rPr>
        <w:t>N</w:t>
      </w:r>
      <w:r w:rsidRPr="006871CC">
        <w:rPr>
          <w:rFonts w:cs="Arial"/>
          <w:iCs/>
        </w:rPr>
        <w:t xml:space="preserve">avržena v kategorii vedlejší polní cesta P 3,5/20 s šířkou vozovky 3,0 m a se zpevněnými krajnicemi 2x0,25 m, délky 0,473km s povrchem asfaltovým. Odvodnění polní cesty je jednostranným sklonem a dále příčnými žlaby </w:t>
      </w:r>
      <w:proofErr w:type="spellStart"/>
      <w:r w:rsidRPr="006871CC">
        <w:rPr>
          <w:rFonts w:cs="Arial"/>
          <w:iCs/>
        </w:rPr>
        <w:t>ozn</w:t>
      </w:r>
      <w:proofErr w:type="spellEnd"/>
      <w:r w:rsidRPr="006871CC">
        <w:rPr>
          <w:rFonts w:cs="Arial"/>
          <w:iCs/>
        </w:rPr>
        <w:t xml:space="preserve">. Z5 až Z15. Na cestě je navržena výhybna V3 a </w:t>
      </w:r>
      <w:r>
        <w:rPr>
          <w:rFonts w:cs="Arial"/>
          <w:iCs/>
        </w:rPr>
        <w:t>dva sjezdy</w:t>
      </w:r>
      <w:r w:rsidRPr="006871CC">
        <w:rPr>
          <w:rFonts w:cs="Arial"/>
          <w:iCs/>
        </w:rPr>
        <w:t xml:space="preserve"> určené k rekonstrukci. Dochází ke křížení el. vedení NN nadzemní. Cesta prochází NRBK. </w:t>
      </w:r>
      <w:r>
        <w:rPr>
          <w:rFonts w:cs="Arial"/>
          <w:iCs/>
        </w:rPr>
        <w:t>Je zpracováno</w:t>
      </w:r>
      <w:r w:rsidRPr="006871CC">
        <w:rPr>
          <w:rFonts w:cs="Arial"/>
          <w:iCs/>
        </w:rPr>
        <w:t xml:space="preserve"> DTR</w:t>
      </w:r>
      <w:r>
        <w:rPr>
          <w:rFonts w:cs="Arial"/>
          <w:iCs/>
        </w:rPr>
        <w:t>.</w:t>
      </w:r>
    </w:p>
    <w:p w14:paraId="140E44C2" w14:textId="77777777" w:rsidR="005344E8" w:rsidRPr="00EC42C0" w:rsidRDefault="005344E8" w:rsidP="005344E8">
      <w:pPr>
        <w:spacing w:line="276" w:lineRule="auto"/>
        <w:ind w:left="1276"/>
        <w:jc w:val="both"/>
        <w:rPr>
          <w:rFonts w:cs="Arial"/>
          <w:b/>
        </w:rPr>
      </w:pPr>
      <w:r w:rsidRPr="00EC42C0">
        <w:rPr>
          <w:rFonts w:cs="Arial"/>
          <w:b/>
        </w:rPr>
        <w:lastRenderedPageBreak/>
        <w:t>SO4 – polní cesta C7a</w:t>
      </w:r>
      <w:r>
        <w:rPr>
          <w:rFonts w:cs="Arial"/>
          <w:b/>
        </w:rPr>
        <w:t xml:space="preserve"> s odvodněním</w:t>
      </w:r>
    </w:p>
    <w:p w14:paraId="02708F63" w14:textId="77777777" w:rsidR="005344E8" w:rsidRPr="00C92D70" w:rsidRDefault="005344E8" w:rsidP="005344E8">
      <w:pPr>
        <w:spacing w:line="276" w:lineRule="auto"/>
        <w:ind w:left="1276"/>
        <w:jc w:val="both"/>
        <w:rPr>
          <w:rFonts w:cs="Arial"/>
        </w:rPr>
      </w:pPr>
      <w:r w:rsidRPr="00EC42C0">
        <w:rPr>
          <w:rFonts w:cs="Arial"/>
        </w:rPr>
        <w:t xml:space="preserve">Jedná se o rekonstrukci vedlejší polní cesty, jednopruhová P 3,5/20, délka 395 m s asfaltovým povrchem. </w:t>
      </w:r>
      <w:r>
        <w:rPr>
          <w:rFonts w:cs="Arial"/>
        </w:rPr>
        <w:t>O</w:t>
      </w:r>
      <w:r w:rsidRPr="00EC42C0">
        <w:rPr>
          <w:rFonts w:cs="Arial"/>
        </w:rPr>
        <w:t xml:space="preserve">dvodnění je řešeno v úseku </w:t>
      </w:r>
      <w:r>
        <w:rPr>
          <w:rFonts w:cs="Arial"/>
        </w:rPr>
        <w:t xml:space="preserve">cesty </w:t>
      </w:r>
      <w:r w:rsidRPr="00EC42C0">
        <w:rPr>
          <w:rFonts w:cs="Arial"/>
        </w:rPr>
        <w:t xml:space="preserve">0,216 – 0,390 levostranným </w:t>
      </w:r>
      <w:proofErr w:type="gramStart"/>
      <w:r w:rsidRPr="00EC42C0">
        <w:rPr>
          <w:rFonts w:cs="Arial"/>
        </w:rPr>
        <w:t>trojúhelníkovým  příkopem</w:t>
      </w:r>
      <w:proofErr w:type="gramEnd"/>
      <w:r w:rsidRPr="00EC42C0">
        <w:rPr>
          <w:rFonts w:cs="Arial"/>
        </w:rPr>
        <w:t xml:space="preserve"> SP3 délky 174m, hloubky min. 0,3m</w:t>
      </w:r>
      <w:r>
        <w:rPr>
          <w:rFonts w:cs="Arial"/>
        </w:rPr>
        <w:t>, který je</w:t>
      </w:r>
      <w:r w:rsidRPr="00EC42C0">
        <w:rPr>
          <w:rFonts w:cs="Arial"/>
        </w:rPr>
        <w:t xml:space="preserve"> zaústěn do nově navrženého trubního propustku P5 (DN 400) v délce 5,0 m</w:t>
      </w:r>
      <w:r>
        <w:rPr>
          <w:rFonts w:cs="Arial"/>
        </w:rPr>
        <w:t xml:space="preserve"> pod cestou</w:t>
      </w:r>
      <w:r w:rsidRPr="00EC42C0">
        <w:rPr>
          <w:rFonts w:cs="Arial"/>
        </w:rPr>
        <w:t>, na který navazuje průleh</w:t>
      </w:r>
      <w:r>
        <w:rPr>
          <w:rFonts w:cs="Arial"/>
        </w:rPr>
        <w:t xml:space="preserve"> </w:t>
      </w:r>
      <w:r w:rsidRPr="00EC42C0">
        <w:rPr>
          <w:rFonts w:cs="Arial"/>
        </w:rPr>
        <w:t xml:space="preserve">SP4, který je zaústěn do údolnice. Průleh je navržen se sklony svahů </w:t>
      </w:r>
      <w:proofErr w:type="gramStart"/>
      <w:r w:rsidRPr="00EC42C0">
        <w:rPr>
          <w:rFonts w:cs="Arial"/>
        </w:rPr>
        <w:t xml:space="preserve">1:6 </w:t>
      </w:r>
      <w:r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r w:rsidRPr="00EC42C0">
        <w:rPr>
          <w:rFonts w:cs="Arial"/>
        </w:rPr>
        <w:t>Součástí průlehu je navržený brod B3</w:t>
      </w:r>
      <w:r>
        <w:rPr>
          <w:rFonts w:cs="Arial"/>
        </w:rPr>
        <w:t xml:space="preserve"> křížící stávající </w:t>
      </w:r>
      <w:r w:rsidRPr="00EC42C0">
        <w:rPr>
          <w:rFonts w:cs="Arial"/>
        </w:rPr>
        <w:t>cestu C10</w:t>
      </w:r>
      <w:r>
        <w:rPr>
          <w:rFonts w:cs="Arial"/>
        </w:rPr>
        <w:t xml:space="preserve"> </w:t>
      </w:r>
      <w:r w:rsidRPr="00EC42C0">
        <w:rPr>
          <w:rFonts w:cs="Arial"/>
        </w:rPr>
        <w:t xml:space="preserve">se stabilizací kamennou dlažbou </w:t>
      </w:r>
      <w:proofErr w:type="spellStart"/>
      <w:r w:rsidRPr="00EC42C0">
        <w:rPr>
          <w:rFonts w:cs="Arial"/>
        </w:rPr>
        <w:t>tl</w:t>
      </w:r>
      <w:proofErr w:type="spellEnd"/>
      <w:r w:rsidRPr="00EC42C0">
        <w:rPr>
          <w:rFonts w:cs="Arial"/>
        </w:rPr>
        <w:t>. 200 m</w:t>
      </w:r>
      <w:r>
        <w:rPr>
          <w:rFonts w:cs="Arial"/>
        </w:rPr>
        <w:t xml:space="preserve">. V nejnižší části údolnice je navržena kamenná přehrážka k zachycení splavenin s </w:t>
      </w:r>
      <w:r w:rsidRPr="00D70F0A">
        <w:rPr>
          <w:rFonts w:cs="Arial"/>
        </w:rPr>
        <w:t>lichoběžníkový</w:t>
      </w:r>
      <w:r>
        <w:rPr>
          <w:rFonts w:cs="Arial"/>
        </w:rPr>
        <w:t>m</w:t>
      </w:r>
      <w:r w:rsidRPr="00D70F0A">
        <w:rPr>
          <w:rFonts w:cs="Arial"/>
        </w:rPr>
        <w:t xml:space="preserve"> průtočný</w:t>
      </w:r>
      <w:r>
        <w:rPr>
          <w:rFonts w:cs="Arial"/>
        </w:rPr>
        <w:t>m</w:t>
      </w:r>
      <w:r w:rsidRPr="00D70F0A">
        <w:rPr>
          <w:rFonts w:cs="Arial"/>
        </w:rPr>
        <w:t xml:space="preserve"> profil</w:t>
      </w:r>
      <w:r>
        <w:rPr>
          <w:rFonts w:cs="Arial"/>
        </w:rPr>
        <w:t xml:space="preserve">em. </w:t>
      </w:r>
      <w:r w:rsidRPr="00D70F0A">
        <w:rPr>
          <w:rFonts w:cs="Arial"/>
        </w:rPr>
        <w:t xml:space="preserve">Spadiště přehrážky je opevněno kameny a </w:t>
      </w:r>
      <w:proofErr w:type="spellStart"/>
      <w:r w:rsidRPr="00D70F0A">
        <w:rPr>
          <w:rFonts w:cs="Arial"/>
        </w:rPr>
        <w:t>rozražeči</w:t>
      </w:r>
      <w:proofErr w:type="spellEnd"/>
      <w:r w:rsidRPr="00D70F0A">
        <w:rPr>
          <w:rFonts w:cs="Arial"/>
        </w:rPr>
        <w:t>, zapuštěn</w:t>
      </w:r>
      <w:r>
        <w:rPr>
          <w:rFonts w:cs="Arial"/>
        </w:rPr>
        <w:t>ými</w:t>
      </w:r>
      <w:r w:rsidRPr="00D70F0A">
        <w:rPr>
          <w:rFonts w:cs="Arial"/>
        </w:rPr>
        <w:t xml:space="preserve"> 0,40 m do terénu a prosypan</w:t>
      </w:r>
      <w:r>
        <w:rPr>
          <w:rFonts w:cs="Arial"/>
        </w:rPr>
        <w:t>ými</w:t>
      </w:r>
      <w:r w:rsidRPr="00D70F0A">
        <w:rPr>
          <w:rFonts w:cs="Arial"/>
        </w:rPr>
        <w:t xml:space="preserve"> štěrkem. V úseku 60 m pod opevněným spadištěm bude do koryta doplněn kamenný zához</w:t>
      </w:r>
      <w:r>
        <w:rPr>
          <w:rFonts w:cs="Arial"/>
        </w:rPr>
        <w:t>. Š</w:t>
      </w:r>
      <w:r w:rsidRPr="00D70F0A">
        <w:rPr>
          <w:rFonts w:cs="Arial"/>
        </w:rPr>
        <w:t>ířka</w:t>
      </w:r>
      <w:r>
        <w:rPr>
          <w:rFonts w:cs="Arial"/>
        </w:rPr>
        <w:t xml:space="preserve"> v břehových hranách </w:t>
      </w:r>
      <w:r w:rsidRPr="00D70F0A">
        <w:rPr>
          <w:rFonts w:cs="Arial"/>
        </w:rPr>
        <w:t>4,00 m</w:t>
      </w:r>
      <w:r>
        <w:rPr>
          <w:rFonts w:cs="Arial"/>
        </w:rPr>
        <w:t>, šířka ve dně</w:t>
      </w:r>
      <w:r>
        <w:rPr>
          <w:rFonts w:cs="Arial"/>
        </w:rPr>
        <w:tab/>
      </w:r>
      <w:r w:rsidRPr="00D70F0A">
        <w:rPr>
          <w:rFonts w:cs="Arial"/>
        </w:rPr>
        <w:t>3,20 m</w:t>
      </w:r>
      <w:r>
        <w:rPr>
          <w:rFonts w:cs="Arial"/>
        </w:rPr>
        <w:t xml:space="preserve">, hloubka profilu </w:t>
      </w:r>
      <w:r w:rsidRPr="00D70F0A">
        <w:rPr>
          <w:rFonts w:cs="Arial"/>
        </w:rPr>
        <w:t>0,40 m</w:t>
      </w:r>
      <w:r>
        <w:rPr>
          <w:rFonts w:cs="Arial"/>
        </w:rPr>
        <w:t xml:space="preserve">, sklon pravého svahu </w:t>
      </w:r>
      <w:r w:rsidRPr="00D70F0A">
        <w:rPr>
          <w:rFonts w:cs="Arial"/>
        </w:rPr>
        <w:t>1:1,0</w:t>
      </w:r>
      <w:r>
        <w:rPr>
          <w:rFonts w:cs="Arial"/>
        </w:rPr>
        <w:t>, sklon levého svahu</w:t>
      </w:r>
      <w:r>
        <w:rPr>
          <w:rFonts w:cs="Arial"/>
        </w:rPr>
        <w:tab/>
      </w:r>
      <w:r w:rsidRPr="00D70F0A">
        <w:rPr>
          <w:rFonts w:cs="Arial"/>
        </w:rPr>
        <w:t>1:1,0</w:t>
      </w:r>
      <w:r>
        <w:rPr>
          <w:rFonts w:cs="Arial"/>
        </w:rPr>
        <w:t xml:space="preserve">. </w:t>
      </w:r>
      <w:r w:rsidRPr="00D70F0A">
        <w:rPr>
          <w:rFonts w:cs="Arial"/>
        </w:rPr>
        <w:t>Parametry přehrážky:</w:t>
      </w:r>
      <w:r>
        <w:rPr>
          <w:rFonts w:cs="Arial"/>
        </w:rPr>
        <w:t xml:space="preserve"> </w:t>
      </w:r>
      <w:r w:rsidRPr="00D70F0A">
        <w:rPr>
          <w:rFonts w:cs="Arial"/>
        </w:rPr>
        <w:t>délka přehrážky</w:t>
      </w:r>
      <w:r>
        <w:rPr>
          <w:rFonts w:cs="Arial"/>
        </w:rPr>
        <w:t xml:space="preserve"> </w:t>
      </w:r>
      <w:r w:rsidRPr="00D70F0A">
        <w:rPr>
          <w:rFonts w:cs="Arial"/>
        </w:rPr>
        <w:t>19,20 m</w:t>
      </w:r>
      <w:r>
        <w:rPr>
          <w:rFonts w:cs="Arial"/>
        </w:rPr>
        <w:t xml:space="preserve">, </w:t>
      </w:r>
      <w:r w:rsidRPr="00D70F0A">
        <w:rPr>
          <w:rFonts w:cs="Arial"/>
        </w:rPr>
        <w:t>šířka přehrážky</w:t>
      </w:r>
      <w:r>
        <w:rPr>
          <w:rFonts w:cs="Arial"/>
        </w:rPr>
        <w:t xml:space="preserve"> </w:t>
      </w:r>
      <w:r w:rsidRPr="00D70F0A">
        <w:rPr>
          <w:rFonts w:cs="Arial"/>
        </w:rPr>
        <w:t>1,1 m</w:t>
      </w:r>
      <w:r>
        <w:rPr>
          <w:rFonts w:cs="Arial"/>
        </w:rPr>
        <w:t xml:space="preserve">, </w:t>
      </w:r>
      <w:r w:rsidRPr="00D70F0A">
        <w:rPr>
          <w:rFonts w:cs="Arial"/>
        </w:rPr>
        <w:t>výška přehrážky</w:t>
      </w:r>
      <w:r>
        <w:rPr>
          <w:rFonts w:cs="Arial"/>
        </w:rPr>
        <w:t xml:space="preserve"> </w:t>
      </w:r>
      <w:r w:rsidRPr="00D70F0A">
        <w:rPr>
          <w:rFonts w:cs="Arial"/>
        </w:rPr>
        <w:t>3,0m</w:t>
      </w:r>
      <w:r>
        <w:rPr>
          <w:rFonts w:cs="Arial"/>
        </w:rPr>
        <w:t xml:space="preserve">, </w:t>
      </w:r>
      <w:r w:rsidRPr="00D70F0A">
        <w:rPr>
          <w:rFonts w:cs="Arial"/>
        </w:rPr>
        <w:t>plocha zátopy</w:t>
      </w:r>
      <w:r>
        <w:rPr>
          <w:rFonts w:cs="Arial"/>
        </w:rPr>
        <w:t xml:space="preserve"> </w:t>
      </w:r>
      <w:r w:rsidRPr="00D70F0A">
        <w:rPr>
          <w:rFonts w:cs="Arial"/>
        </w:rPr>
        <w:t>110,00 m</w:t>
      </w:r>
      <w:r w:rsidRPr="00D70F0A">
        <w:rPr>
          <w:rFonts w:cs="Arial"/>
          <w:vertAlign w:val="superscript"/>
        </w:rPr>
        <w:t>2</w:t>
      </w:r>
      <w:r>
        <w:rPr>
          <w:rFonts w:cs="Arial"/>
        </w:rPr>
        <w:t xml:space="preserve">. Stavba kříží VN nadzemní vedení. Bez kácení, bez výsadby, DTR je zpracováno. </w:t>
      </w:r>
    </w:p>
    <w:p w14:paraId="0BDA798A" w14:textId="62AA8FDF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52CF2269" w14:textId="7C415E08" w:rsidR="007F5A34" w:rsidRPr="005344E8" w:rsidRDefault="00AB7CC6" w:rsidP="005344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22542B88" w:rsidR="00F829EA" w:rsidRPr="00340356" w:rsidRDefault="00340356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  <w:proofErr w:type="spellStart"/>
      <w:r w:rsidRPr="00340356">
        <w:rPr>
          <w:rFonts w:ascii="Arial" w:hAnsi="Arial" w:cs="Arial"/>
          <w:szCs w:val="22"/>
          <w:u w:val="none"/>
          <w:lang w:val="en-US"/>
        </w:rPr>
        <w:t>Plán</w:t>
      </w:r>
      <w:proofErr w:type="spellEnd"/>
      <w:r w:rsidRPr="00340356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340356">
        <w:rPr>
          <w:rFonts w:ascii="Arial" w:hAnsi="Arial" w:cs="Arial"/>
          <w:szCs w:val="22"/>
          <w:u w:val="none"/>
          <w:lang w:val="en-US"/>
        </w:rPr>
        <w:t>společných</w:t>
      </w:r>
      <w:proofErr w:type="spellEnd"/>
      <w:r w:rsidRPr="00340356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340356">
        <w:rPr>
          <w:rFonts w:ascii="Arial" w:hAnsi="Arial" w:cs="Arial"/>
          <w:szCs w:val="22"/>
          <w:u w:val="none"/>
          <w:lang w:val="en-US"/>
        </w:rPr>
        <w:t>zařízení</w:t>
      </w:r>
      <w:proofErr w:type="spellEnd"/>
      <w:r w:rsidRPr="00340356">
        <w:rPr>
          <w:rFonts w:ascii="Arial" w:hAnsi="Arial" w:cs="Arial"/>
          <w:szCs w:val="22"/>
          <w:u w:val="none"/>
          <w:lang w:val="en-US"/>
        </w:rPr>
        <w:t xml:space="preserve"> </w:t>
      </w:r>
      <w:proofErr w:type="spellStart"/>
      <w:r w:rsidRPr="00340356">
        <w:rPr>
          <w:rFonts w:ascii="Arial" w:hAnsi="Arial" w:cs="Arial"/>
          <w:szCs w:val="22"/>
          <w:u w:val="none"/>
          <w:lang w:val="en-US"/>
        </w:rPr>
        <w:t>k.ú</w:t>
      </w:r>
      <w:proofErr w:type="spellEnd"/>
      <w:r w:rsidRPr="00340356">
        <w:rPr>
          <w:rFonts w:ascii="Arial" w:hAnsi="Arial" w:cs="Arial"/>
          <w:szCs w:val="22"/>
          <w:u w:val="none"/>
          <w:lang w:val="en-US"/>
        </w:rPr>
        <w:t xml:space="preserve">. </w:t>
      </w:r>
      <w:proofErr w:type="spellStart"/>
      <w:r w:rsidRPr="00340356">
        <w:rPr>
          <w:rFonts w:ascii="Arial" w:hAnsi="Arial" w:cs="Arial"/>
          <w:szCs w:val="22"/>
          <w:u w:val="none"/>
          <w:lang w:val="en-US"/>
        </w:rPr>
        <w:t>Rytířov</w:t>
      </w:r>
      <w:proofErr w:type="spellEnd"/>
      <w:r w:rsidR="005344E8">
        <w:rPr>
          <w:rFonts w:ascii="Arial" w:hAnsi="Arial" w:cs="Arial"/>
          <w:szCs w:val="22"/>
          <w:u w:val="none"/>
          <w:lang w:val="en-US"/>
        </w:rPr>
        <w:t xml:space="preserve"> a </w:t>
      </w:r>
      <w:proofErr w:type="spellStart"/>
      <w:r w:rsidR="005344E8">
        <w:rPr>
          <w:rFonts w:ascii="Arial" w:hAnsi="Arial" w:cs="Arial"/>
          <w:szCs w:val="22"/>
          <w:u w:val="none"/>
          <w:lang w:val="en-US"/>
        </w:rPr>
        <w:t>k.ú</w:t>
      </w:r>
      <w:proofErr w:type="spellEnd"/>
      <w:r w:rsidR="005344E8">
        <w:rPr>
          <w:rFonts w:ascii="Arial" w:hAnsi="Arial" w:cs="Arial"/>
          <w:szCs w:val="22"/>
          <w:u w:val="none"/>
          <w:lang w:val="en-US"/>
        </w:rPr>
        <w:t xml:space="preserve">. </w:t>
      </w:r>
      <w:proofErr w:type="spellStart"/>
      <w:r w:rsidR="005344E8">
        <w:rPr>
          <w:rFonts w:ascii="Arial" w:hAnsi="Arial" w:cs="Arial"/>
          <w:szCs w:val="22"/>
          <w:u w:val="none"/>
          <w:lang w:val="en-US"/>
        </w:rPr>
        <w:t>Rychnov</w:t>
      </w:r>
      <w:proofErr w:type="spellEnd"/>
      <w:r w:rsidR="005344E8">
        <w:rPr>
          <w:rFonts w:ascii="Arial" w:hAnsi="Arial" w:cs="Arial"/>
          <w:szCs w:val="22"/>
          <w:u w:val="none"/>
          <w:lang w:val="en-US"/>
        </w:rPr>
        <w:t xml:space="preserve"> u </w:t>
      </w:r>
      <w:proofErr w:type="spellStart"/>
      <w:r w:rsidR="005344E8">
        <w:rPr>
          <w:rFonts w:ascii="Arial" w:hAnsi="Arial" w:cs="Arial"/>
          <w:szCs w:val="22"/>
          <w:u w:val="none"/>
          <w:lang w:val="en-US"/>
        </w:rPr>
        <w:t>Verneřic</w:t>
      </w:r>
      <w:proofErr w:type="spellEnd"/>
    </w:p>
    <w:p w14:paraId="33644920" w14:textId="45FF83DB" w:rsidR="00F829EA" w:rsidRPr="004D5F78" w:rsidRDefault="00F829E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1216C618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EBA375A" w14:textId="18EA26C1" w:rsidR="005344E8" w:rsidRDefault="005344E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9DD7049" w14:textId="6F2986DE" w:rsidR="005344E8" w:rsidRDefault="005344E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727F780" w14:textId="72C164DF" w:rsidR="005344E8" w:rsidRDefault="005344E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047A48B" w14:textId="77777777" w:rsidR="005344E8" w:rsidRDefault="005344E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A33B121" w14:textId="6C1F2051" w:rsidR="005344E8" w:rsidRDefault="005344E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127C1C2" w14:textId="77777777" w:rsidR="005344E8" w:rsidRPr="004D5F78" w:rsidRDefault="005344E8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5BB8D055" w14:textId="77777777" w:rsidR="0043489C" w:rsidRDefault="0043489C" w:rsidP="0043489C">
      <w:pPr>
        <w:spacing w:line="276" w:lineRule="auto"/>
        <w:jc w:val="both"/>
        <w:rPr>
          <w:rFonts w:cs="Arial"/>
        </w:rPr>
      </w:pPr>
    </w:p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1D0AEF">
      <w:pPr>
        <w:pStyle w:val="Odstavecseseznamem"/>
        <w:numPr>
          <w:ilvl w:val="0"/>
          <w:numId w:val="76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43C177E4" w:rsidR="001A027C" w:rsidRPr="004D5F78" w:rsidRDefault="000A3C0D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4D5F78">
        <w:rPr>
          <w:rFonts w:cs="Arial"/>
          <w:b/>
          <w:spacing w:val="-1"/>
          <w:szCs w:val="22"/>
          <w:u w:val="single" w:color="000000"/>
        </w:rPr>
        <w:lastRenderedPageBreak/>
        <w:t>1.3.Zadání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vodní</w:t>
      </w:r>
      <w:r w:rsidR="001A027C"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702131E1" w14:textId="77777777" w:rsidR="00141545" w:rsidRPr="004D5F78" w:rsidRDefault="00141545" w:rsidP="001A027C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6771F5BE" w14:textId="77777777" w:rsidR="001A027C" w:rsidRPr="004D5F78" w:rsidRDefault="001A027C" w:rsidP="001A027C">
      <w:pPr>
        <w:widowControl w:val="0"/>
        <w:spacing w:before="126" w:after="0" w:line="240" w:lineRule="auto"/>
        <w:ind w:left="395"/>
        <w:rPr>
          <w:rFonts w:eastAsia="Calibri" w:cs="Arial"/>
          <w:szCs w:val="22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846463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535B7BA" w14:textId="5D0FDF1A" w:rsidR="00627EE9" w:rsidRPr="001D0AEF" w:rsidRDefault="001A027C" w:rsidP="001D0AEF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846463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1A027C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proofErr w:type="gram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1A027C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8652BDA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9068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1392B5D9" w14:textId="0C504B4D" w:rsidR="0049068E" w:rsidRDefault="0049068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7F657B2C" w14:textId="73333BA5" w:rsidR="0049068E" w:rsidRDefault="0049068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0F84221B" w14:textId="77777777" w:rsidR="0049068E" w:rsidRDefault="0049068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77777777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1D0AEF">
        <w:rPr>
          <w:rFonts w:eastAsia="Lucida Sans Unicode" w:cs="Arial"/>
          <w:b/>
          <w:bCs/>
          <w:szCs w:val="22"/>
        </w:rPr>
        <w:t xml:space="preserve">Příloha </w:t>
      </w:r>
      <w:r w:rsidRPr="0049068E">
        <w:rPr>
          <w:rFonts w:eastAsia="Lucida Sans Unicode" w:cs="Arial"/>
          <w:b/>
          <w:bCs/>
          <w:szCs w:val="22"/>
        </w:rPr>
        <w:t>č. 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C14CCD4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14:paraId="5502B1B6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</w:t>
      </w:r>
      <w:proofErr w:type="gramStart"/>
      <w:r w:rsidRPr="001C16F7">
        <w:rPr>
          <w:rFonts w:cs="Arial"/>
          <w:szCs w:val="22"/>
        </w:rPr>
        <w:t>11a</w:t>
      </w:r>
      <w:proofErr w:type="gramEnd"/>
      <w:r w:rsidRPr="001C16F7">
        <w:rPr>
          <w:rFonts w:cs="Arial"/>
          <w:szCs w:val="22"/>
        </w:rPr>
        <w:t>, 130 00 Praha 3 – Žižkov, IČO: 01312774, DIČ: CZ01312774</w:t>
      </w:r>
    </w:p>
    <w:p w14:paraId="63688502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5558C124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F65579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2D39E32B" w14:textId="0C76AB91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0CCA4CA" w14:textId="08670F75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 w:rsidR="0043489C">
        <w:rPr>
          <w:rFonts w:ascii="Arial" w:hAnsi="Arial" w:cs="Arial"/>
          <w:sz w:val="22"/>
          <w:szCs w:val="22"/>
        </w:rPr>
        <w:t>Ústecký kraj, Pobočka Děčín</w:t>
      </w:r>
    </w:p>
    <w:p w14:paraId="65DAADC0" w14:textId="77777777" w:rsidR="004D687E" w:rsidRPr="001C16F7" w:rsidRDefault="004D687E" w:rsidP="004D687E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14:paraId="11488CD3" w14:textId="3DDBDEE5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r w:rsidR="0043489C">
        <w:rPr>
          <w:rFonts w:cs="Arial"/>
          <w:szCs w:val="22"/>
        </w:rPr>
        <w:t xml:space="preserve">ul. 28. října 979/19, 405 </w:t>
      </w:r>
      <w:proofErr w:type="gramStart"/>
      <w:r w:rsidR="0043489C">
        <w:rPr>
          <w:rFonts w:cs="Arial"/>
          <w:szCs w:val="22"/>
        </w:rPr>
        <w:t>02  Děčín</w:t>
      </w:r>
      <w:proofErr w:type="gramEnd"/>
      <w:r w:rsidR="0043489C">
        <w:rPr>
          <w:rFonts w:cs="Arial"/>
          <w:szCs w:val="22"/>
        </w:rPr>
        <w:t xml:space="preserve"> I</w:t>
      </w:r>
    </w:p>
    <w:p w14:paraId="274F279C" w14:textId="3DB123F6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="0043489C">
        <w:rPr>
          <w:rFonts w:cs="Arial"/>
          <w:szCs w:val="22"/>
        </w:rPr>
        <w:t>Ing. Jitkou Blehovou, vedoucí Pobočky Děčín</w:t>
      </w:r>
    </w:p>
    <w:p w14:paraId="22AF64EA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3A461F5E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083728B3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0DC03BB" w14:textId="5EFEFC86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="00376530" w:rsidRPr="00376530">
        <w:rPr>
          <w:rFonts w:cs="Arial"/>
          <w:szCs w:val="22"/>
        </w:rPr>
        <w:t>PCE, VHO a PEO</w:t>
      </w:r>
      <w:r w:rsidR="0043489C">
        <w:rPr>
          <w:rFonts w:cs="Arial"/>
          <w:szCs w:val="22"/>
        </w:rPr>
        <w:t xml:space="preserve"> </w:t>
      </w:r>
      <w:proofErr w:type="spellStart"/>
      <w:r w:rsidR="0043489C">
        <w:rPr>
          <w:rFonts w:cs="Arial"/>
          <w:szCs w:val="22"/>
        </w:rPr>
        <w:t>k.ú</w:t>
      </w:r>
      <w:proofErr w:type="spellEnd"/>
      <w:r w:rsidR="0043489C">
        <w:rPr>
          <w:rFonts w:cs="Arial"/>
          <w:szCs w:val="22"/>
        </w:rPr>
        <w:t xml:space="preserve">. </w:t>
      </w:r>
      <w:proofErr w:type="spellStart"/>
      <w:r w:rsidR="0043489C">
        <w:rPr>
          <w:rFonts w:cs="Arial"/>
          <w:szCs w:val="22"/>
        </w:rPr>
        <w:t>Rytířov</w:t>
      </w:r>
      <w:proofErr w:type="spellEnd"/>
      <w:r w:rsidRPr="001C16F7">
        <w:rPr>
          <w:rFonts w:cs="Arial"/>
          <w:szCs w:val="22"/>
        </w:rPr>
        <w:t xml:space="preserve"> 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</w:t>
      </w:r>
      <w:r w:rsidR="0043489C">
        <w:rPr>
          <w:rFonts w:cs="Arial"/>
          <w:szCs w:val="22"/>
        </w:rPr>
        <w:t xml:space="preserve">4.2. </w:t>
      </w:r>
      <w:r w:rsidR="001D0AEF">
        <w:rPr>
          <w:rFonts w:cs="Arial"/>
          <w:szCs w:val="22"/>
        </w:rPr>
        <w:t xml:space="preserve"> </w:t>
      </w:r>
      <w:r w:rsidRPr="001C16F7">
        <w:rPr>
          <w:rFonts w:cs="Arial"/>
          <w:szCs w:val="22"/>
        </w:rPr>
        <w:t xml:space="preserve"> této smlouvy.</w:t>
      </w:r>
    </w:p>
    <w:p w14:paraId="0387DFB3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E9D8370" w14:textId="2F2E3696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08DB52B3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14:paraId="6481D202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1AF0DF60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4C6482D5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9" w:name="_Hlk19542743"/>
      <w:r w:rsidRPr="001C16F7">
        <w:rPr>
          <w:rFonts w:cs="Arial"/>
          <w:szCs w:val="22"/>
        </w:rPr>
        <w:t>;</w:t>
      </w:r>
      <w:bookmarkEnd w:id="9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23B6A87B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 xml:space="preserve">dne       </w:t>
      </w:r>
    </w:p>
    <w:p w14:paraId="316A30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51CBEDF6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774D71A" w14:textId="268D2D98" w:rsidR="004D687E" w:rsidRPr="001C16F7" w:rsidRDefault="004D687E" w:rsidP="004D687E">
      <w:pPr>
        <w:spacing w:line="276" w:lineRule="auto"/>
        <w:ind w:left="5103"/>
        <w:rPr>
          <w:rFonts w:cs="Arial"/>
          <w:szCs w:val="22"/>
        </w:rPr>
      </w:pPr>
      <w:bookmarkStart w:id="10" w:name="Text16"/>
      <w:r w:rsidRPr="001C16F7">
        <w:rPr>
          <w:rFonts w:cs="Arial"/>
          <w:szCs w:val="22"/>
        </w:rPr>
        <w:t>…………………………………</w:t>
      </w:r>
      <w:proofErr w:type="gramStart"/>
      <w:r w:rsidRPr="001C16F7">
        <w:rPr>
          <w:rFonts w:cs="Arial"/>
          <w:szCs w:val="22"/>
        </w:rPr>
        <w:t>…….</w:t>
      </w:r>
      <w:proofErr w:type="gramEnd"/>
      <w:r w:rsidRPr="001C16F7">
        <w:rPr>
          <w:rFonts w:cs="Arial"/>
          <w:szCs w:val="22"/>
        </w:rPr>
        <w:br/>
      </w:r>
      <w:bookmarkEnd w:id="10"/>
      <w:r w:rsidR="0043489C">
        <w:rPr>
          <w:rFonts w:cs="Arial"/>
          <w:szCs w:val="22"/>
        </w:rPr>
        <w:t>Ing. Jitka Blehová</w:t>
      </w:r>
    </w:p>
    <w:p w14:paraId="001C356F" w14:textId="3466BBB1" w:rsidR="004D687E" w:rsidRPr="001C16F7" w:rsidRDefault="0043489C" w:rsidP="004D687E">
      <w:pPr>
        <w:spacing w:line="276" w:lineRule="auto"/>
        <w:ind w:left="5103"/>
        <w:rPr>
          <w:rFonts w:cs="Arial"/>
          <w:szCs w:val="22"/>
        </w:rPr>
      </w:pPr>
      <w:r>
        <w:rPr>
          <w:rFonts w:cs="Arial"/>
          <w:szCs w:val="22"/>
        </w:rPr>
        <w:t>Vedoucí Pobočky Děčín</w:t>
      </w:r>
    </w:p>
    <w:p w14:paraId="553A875D" w14:textId="77777777"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</w:p>
    <w:p w14:paraId="4167E2CA" w14:textId="77777777"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  <w:r w:rsidRPr="00A2166E">
        <w:rPr>
          <w:rFonts w:ascii="Arial" w:hAnsi="Arial" w:cs="Arial"/>
          <w:sz w:val="20"/>
        </w:rPr>
        <w:t>Plnou moc přijímá: …………………………</w:t>
      </w: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F0F82" w14:textId="77777777" w:rsidR="005344E8" w:rsidRDefault="005344E8">
      <w:r>
        <w:separator/>
      </w:r>
    </w:p>
  </w:endnote>
  <w:endnote w:type="continuationSeparator" w:id="0">
    <w:p w14:paraId="3A7157CF" w14:textId="77777777" w:rsidR="005344E8" w:rsidRDefault="005344E8">
      <w:r>
        <w:continuationSeparator/>
      </w:r>
    </w:p>
  </w:endnote>
  <w:endnote w:type="continuationNotice" w:id="1">
    <w:p w14:paraId="74DAF41D" w14:textId="77777777" w:rsidR="005344E8" w:rsidRDefault="005344E8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5344E8" w:rsidRDefault="005344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5344E8" w:rsidRDefault="005344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5344E8" w:rsidRDefault="005344E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5344E8" w:rsidRDefault="005344E8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5344E8" w:rsidRDefault="005344E8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0289F" w14:textId="77777777" w:rsidR="005344E8" w:rsidRDefault="005344E8">
      <w:r>
        <w:separator/>
      </w:r>
    </w:p>
  </w:footnote>
  <w:footnote w:type="continuationSeparator" w:id="0">
    <w:p w14:paraId="4CDF67E9" w14:textId="77777777" w:rsidR="005344E8" w:rsidRDefault="005344E8">
      <w:r>
        <w:continuationSeparator/>
      </w:r>
    </w:p>
  </w:footnote>
  <w:footnote w:type="continuationNotice" w:id="1">
    <w:p w14:paraId="36607595" w14:textId="77777777" w:rsidR="005344E8" w:rsidRDefault="005344E8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5344E8" w:rsidRPr="0015467D" w:rsidRDefault="005344E8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5344E8" w:rsidRPr="00B16ADC" w:rsidRDefault="005344E8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5344E8" w:rsidRPr="0047679A" w:rsidRDefault="005344E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211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165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34C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035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76530"/>
    <w:rsid w:val="00380D9B"/>
    <w:rsid w:val="003823D0"/>
    <w:rsid w:val="00394CD0"/>
    <w:rsid w:val="003A222E"/>
    <w:rsid w:val="003A3718"/>
    <w:rsid w:val="003A3D12"/>
    <w:rsid w:val="003A65CB"/>
    <w:rsid w:val="003B39B1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489C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068E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44E8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4611B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2BD2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969FB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A74D0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1B27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E38A997-1551-4814-BA06-5F1043055B8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65769D3-EF93-4192-A235-CBB48B59C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20</Pages>
  <Words>6205</Words>
  <Characters>35889</Characters>
  <Application>Microsoft Office Word</Application>
  <DocSecurity>0</DocSecurity>
  <Lines>299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42010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Beranová Andrea Ing.</cp:lastModifiedBy>
  <cp:revision>9</cp:revision>
  <cp:lastPrinted>2019-08-15T11:56:00Z</cp:lastPrinted>
  <dcterms:created xsi:type="dcterms:W3CDTF">2020-05-28T08:59:00Z</dcterms:created>
  <dcterms:modified xsi:type="dcterms:W3CDTF">2020-06-01T08:43:00Z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